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F0" w:rsidRDefault="000907F0" w:rsidP="000907F0">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Debreceni Egyetem</w:t>
      </w:r>
    </w:p>
    <w:p w:rsidR="000907F0" w:rsidRDefault="000907F0" w:rsidP="000907F0">
      <w:pPr>
        <w:tabs>
          <w:tab w:val="left" w:pos="3795"/>
        </w:tabs>
        <w:spacing w:after="0" w:line="240" w:lineRule="auto"/>
        <w:jc w:val="center"/>
        <w:rPr>
          <w:rFonts w:ascii="Times New Roman" w:eastAsia="Calibri" w:hAnsi="Times New Roman" w:cs="Times New Roman"/>
          <w:sz w:val="40"/>
          <w:szCs w:val="40"/>
        </w:rPr>
      </w:pPr>
      <w:r>
        <w:rPr>
          <w:rFonts w:ascii="Times New Roman" w:hAnsi="Times New Roman" w:cs="Times New Roman"/>
          <w:sz w:val="40"/>
          <w:szCs w:val="40"/>
        </w:rPr>
        <w:t>Gazdaságtudományi Kar</w:t>
      </w: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MSc Nemzetközi gazdaság és gazdálkodás</w:t>
      </w: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nappali</w:t>
      </w:r>
      <w:bookmarkStart w:id="0" w:name="_GoBack"/>
      <w:bookmarkEnd w:id="0"/>
      <w:r>
        <w:rPr>
          <w:rFonts w:ascii="Times New Roman" w:hAnsi="Times New Roman" w:cs="Times New Roman"/>
          <w:sz w:val="40"/>
          <w:szCs w:val="40"/>
        </w:rPr>
        <w:t xml:space="preserve"> tagozat</w:t>
      </w: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2020/2021. tanév</w:t>
      </w: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b/>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p>
    <w:p w:rsidR="000907F0" w:rsidRDefault="000907F0" w:rsidP="000907F0">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w:t>
      </w: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tabs>
          <w:tab w:val="left" w:pos="1701"/>
        </w:tabs>
        <w:spacing w:after="0" w:line="240" w:lineRule="auto"/>
        <w:rPr>
          <w:rFonts w:ascii="Times New Roman" w:hAnsi="Times New Roman" w:cs="Times New Roman"/>
          <w:i/>
          <w:sz w:val="40"/>
          <w:szCs w:val="40"/>
          <w:u w:val="single"/>
        </w:rPr>
      </w:pPr>
    </w:p>
    <w:p w:rsidR="000907F0" w:rsidRDefault="000907F0" w:rsidP="000907F0">
      <w:pPr>
        <w:spacing w:after="0" w:line="240" w:lineRule="auto"/>
        <w:jc w:val="both"/>
        <w:rPr>
          <w:rFonts w:ascii="Times New Roman" w:hAnsi="Times New Roman" w:cs="Times New Roman"/>
          <w:i/>
          <w:sz w:val="40"/>
          <w:szCs w:val="40"/>
          <w:u w:val="single"/>
        </w:rPr>
      </w:pPr>
      <w:r>
        <w:rPr>
          <w:rFonts w:ascii="Times New Roman" w:hAnsi="Times New Roman" w:cs="Times New Roman"/>
          <w:i/>
          <w:sz w:val="40"/>
          <w:szCs w:val="40"/>
          <w:u w:val="single"/>
        </w:rPr>
        <w:t>Megjegyzés: Az oktatók a változtatás jogát fenntartják a tematikák vonatkozásában!</w:t>
      </w:r>
    </w:p>
    <w:p w:rsidR="000907F0" w:rsidRDefault="000907F0" w:rsidP="000907F0">
      <w:pPr>
        <w:rPr>
          <w:rFonts w:ascii="Times New Roman" w:hAnsi="Times New Roman" w:cs="Times New Roman"/>
          <w:i/>
          <w:sz w:val="40"/>
          <w:szCs w:val="40"/>
          <w:u w:val="single"/>
        </w:rPr>
      </w:pPr>
      <w:r>
        <w:rPr>
          <w:rFonts w:ascii="Times New Roman" w:hAnsi="Times New Roman" w:cs="Times New Roman"/>
          <w:i/>
          <w:sz w:val="40"/>
          <w:szCs w:val="40"/>
          <w:u w:val="single"/>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Statisztika és Ökonometria</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Arial Unicode MS" w:hAnsi="Times New Roman" w:cs="Times New Roman"/>
                <w:b/>
                <w:sz w:val="20"/>
                <w:szCs w:val="20"/>
                <w:lang w:eastAsia="hu-HU"/>
              </w:rPr>
              <w:t>GT_MNGN016-17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Statistics and Econometrics</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 xml:space="preserve"> Statisztika és Módszertani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Prof. Dr. Balogh Péter</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beosztása</w:t>
            </w:r>
            <w:r w:rsidRPr="00861A1C">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egyetemi tanár</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 a nemzetközi gazdasági elemzésben használható statisztikai és ökonometriai módszereket megismerjék, és a gazdaság és szervezéstudományok területén használható eljárásokat készség szinten alkalmazni tudják a nemzetközi jellegű közgazdasági elemző munkák során az SPSS program alkalmazásával.</w:t>
            </w: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Birtokában van a problémafelismerés, -megfogalmazás és -megoldás, az információgyűjtés és -feldolgozás korszerű, elméletileg is igényes matematikai-statisztikai, ökonometriai, modellezési módszereinek, ismeri azok korlátait is.</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Nyitott és befogadó a gazdaságtudomány és gyakorlat új eredményei iránt. Kritikusan viszonyul saját, illetve a beosztottak tudásához, munkájához és magatartásához. Kötelességének tartja a hibák kijavítását, munkatársai fejlesztését. Érdeklődéssel fordul a kapcsolódó szaktudományok eredményei és megoldásai felé.</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Különböző bonyolultságú és különböző mértékben kiszámítható kontextusokban a módszerek és technikák széles körét alkalmazza önállóan a gyakorlatban. Bekapcsolódik kutatási és fejlesztési projektekbe, a projektcsoportban a cél elérése érdekében autonóm módon, a csoport többi tagjával együttműködve mozgósítja elméleti és gyakorlati tudását, képességeit.</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hibák becslése. Kategorikus adatok elemzése a Khi-négyzet teszt alkalmazásával. További nem paraméteres modellek. A logisztikus regresszió. Ismétlés nélküli és ismételt méréses ANOVA modellek. Feltáró faktorelemzés. Kérdőívek megbízhatóságának elemzése. Idősorelemzés: ARIMA modellek.</w:t>
            </w:r>
          </w:p>
          <w:p w:rsidR="00861A1C" w:rsidRPr="00861A1C" w:rsidRDefault="00861A1C" w:rsidP="00861A1C">
            <w:pPr>
              <w:spacing w:after="0" w:line="240" w:lineRule="auto"/>
              <w:ind w:right="138"/>
              <w:jc w:val="both"/>
              <w:rPr>
                <w:rFonts w:ascii="Times New Roman" w:eastAsia="Calibri" w:hAnsi="Times New Roman" w:cs="Times New Roman"/>
                <w:sz w:val="20"/>
                <w:szCs w:val="20"/>
                <w:lang w:eastAsia="hu-HU"/>
              </w:rPr>
            </w:pPr>
          </w:p>
        </w:tc>
      </w:tr>
      <w:tr w:rsidR="00861A1C" w:rsidRPr="00861A1C" w:rsidTr="00C537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egymásra épülő anyagrészek megértése, alkalmazásuk és begyakorlása érdekében rendszeres otthoni felkészülést kérünk a hallgatóságtól. A félév végi aláírás feltétele a gyakorlatokon való aktív részvétel és az SPSS statisztikai program felhasználói szintű ismerete. Az előadások látogatása ajánlott, a gyakorlatoké kötelező.</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félév kollokviumi jeggyel zárul, amely elméleti és gyakorlati részből áll. A félév végére egy önálló esettanulmányt kell készítenie a hallgatóknak, amit a vizsgán SPSS program használatával kell újra kiszámítani és szóban megvédeni.</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Sajtos L. – Mitev A. (2007): „SPSS kutatási és adatelemzési kézikönyv”, Alinea Kiadó, Budapest, 2007. 1-402. o. ISBN 978-963-9659-08-7</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Howitt, D. – Cramer D.: Introduction to Statistics in Psychology, 6/E Pearson, Harlow. 2014. 744. p. ISBN-13: 9781292000749</w:t>
            </w: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lastRenderedPageBreak/>
              <w:t>Ketskeméty L. – Izsó L. (2005): „Bevezetés az SPSS programrendszerbe (Módszertani útmutató és feladatgyűjtemény statisztikai elemzésekhez)”, ELTE Eötvös Kiadó, Budapest, 2005. 1-459. o. ISBN 963 436 823 6</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Field </w:t>
            </w:r>
            <w:proofErr w:type="gramStart"/>
            <w:r w:rsidRPr="00861A1C">
              <w:rPr>
                <w:rFonts w:ascii="Times New Roman" w:eastAsia="Calibri" w:hAnsi="Times New Roman" w:cs="Times New Roman"/>
                <w:sz w:val="20"/>
                <w:szCs w:val="20"/>
                <w:lang w:eastAsia="hu-HU"/>
              </w:rPr>
              <w:t>A</w:t>
            </w:r>
            <w:proofErr w:type="gramEnd"/>
            <w:r w:rsidRPr="00861A1C">
              <w:rPr>
                <w:rFonts w:ascii="Times New Roman" w:eastAsia="Calibri" w:hAnsi="Times New Roman" w:cs="Times New Roman"/>
                <w:sz w:val="20"/>
                <w:szCs w:val="20"/>
                <w:lang w:eastAsia="hu-HU"/>
              </w:rPr>
              <w:t>.: Discovering Statistics Using SPSS (Introducing Statistical Methods), 5th Edition, SAGE Publications Ltd., London, 2017. 1104. p. ISBN-13: 9781526445780</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Anderson, Sweeney, Williams, Freeman and Shoesmith: Statistics for Business and Economics, Second edition, Cengage Learning EMEA, 2010. UK, 928. p. ISBN: 1408018101</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1A1C" w:rsidRPr="00861A1C" w:rsidTr="00C53713">
        <w:tc>
          <w:tcPr>
            <w:tcW w:w="9250"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hibák becslése. Mi a hiba? A hibák kimutatása. A hibák csökkentése.</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statisztikai hibákkal kapcsolatos ismeretek.</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Kategorikus adatok: Elmélet és feltételezések a kategorikus adatok elemzésében. Khi-négyzet teszt.</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Khi-négyzet teszt és alkalmazásai.</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Nem paraméteres modellek: Mann-Whitney teszt, Wilcoxos rangteszt, Kruskal-Wallis teszt, Friedman teszt.</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További nem paraméteres tesztek.</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Nem lineáris regresszió.</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Lineáris és nem lineáris regresszió elkülönítése.</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Bevezetés a logisztikus regresszióba.</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Logisztikus regresszióval kapcsolatos alapismeretek.</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Kétértékű logisztikus regresszió.</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Kétértékű logisztikus regresszió.</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Kettőnél több kategória becslése: multinomiális logisztikus regresszió.</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Multinomiális logisztikus regresszió.</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Többtényezős ANOVA. Kísérleti elrendezés. A többtényezős ANOVA, mint lineáris modell. Két tényezős varianciaanalízis. Feltételek és eredmények a két tényezős ANOVA modellben.</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Többtényezős ANOVA ismeretek.</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Ismételt méréses ANOVA modellek.</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Ismételt méréses modellekkel kapcsolatos ismeretek.</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Feltáró faktorelemzés I.</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Feltáró faktorelemzéssel kapcsolatos ismeretek I.</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Feltáró faktorelemzés II.</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Feltáró faktorelemzéssel kapcsolatos ismeretek II.</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Kérdőívek megbízhatósági elemzése.</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Kérdőívek megbízhatósági elemzése (Cronbach-alfa értelmezése).</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Idősorelemzés: ARIMA modellek</w:t>
            </w:r>
          </w:p>
        </w:tc>
      </w:tr>
      <w:tr w:rsidR="00861A1C" w:rsidRPr="00861A1C" w:rsidTr="00C53713">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ARMA és ARIMA modellezés alapjai.</w:t>
            </w:r>
          </w:p>
        </w:tc>
      </w:tr>
      <w:tr w:rsidR="00861A1C" w:rsidRPr="00861A1C" w:rsidTr="00C53713">
        <w:tc>
          <w:tcPr>
            <w:tcW w:w="1529" w:type="dxa"/>
            <w:vMerge w:val="restart"/>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Összefoglalás.</w:t>
            </w:r>
          </w:p>
        </w:tc>
      </w:tr>
      <w:tr w:rsidR="00861A1C" w:rsidRPr="00861A1C" w:rsidTr="00C53713">
        <w:trPr>
          <w:trHeight w:val="70"/>
        </w:trPr>
        <w:tc>
          <w:tcPr>
            <w:tcW w:w="1529" w:type="dxa"/>
            <w:vMerge/>
            <w:shd w:val="clear" w:color="auto" w:fill="auto"/>
          </w:tcPr>
          <w:p w:rsidR="00861A1C" w:rsidRPr="00861A1C" w:rsidRDefault="00861A1C" w:rsidP="00861A1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Vizsgára felkészítő gyakorlás.</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Haladó mikroökonómia</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Arial Unicode MS" w:hAnsi="Times New Roman" w:cs="Times New Roman"/>
                <w:b/>
                <w:sz w:val="20"/>
                <w:szCs w:val="20"/>
                <w:lang w:eastAsia="hu-HU"/>
              </w:rPr>
              <w:t>GT_MNGN002-17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Advanced microeconomics</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DE GTK Közgazdaságtan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20"/>
                <w:szCs w:val="20"/>
                <w:lang w:eastAsia="hu-HU"/>
              </w:rPr>
              <w:t>Kovács István</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beosztása</w:t>
            </w:r>
            <w:r w:rsidRPr="00861A1C">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adjunktus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megismerjék az alapfokú mikroökonómiára épülő modelleket, elsősorban a fogyasztói modell kiterjesztéseit, a monopolista és oligopolista piaci viselkedést, az általános egyensúlyelmélet és a piaci tökéletlenségek elméleteit.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Képes sokoldalú, interdiszciplináris megközelítéssel speciális szakmai problémákat azonosítani, továbbá feltárni és megfogalmazni az azok megoldásához szükséges részletes elméleti és gyakorlati hátteret.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Hitelesen közvetíti szakmája összefoglaló és részletezett problémaköreit.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kurzus először áttekinti az alapfokú mikroökonómiai elméleti hátteret. Ezután a fogyasztói elmélet kiterjesztéseit tárgyalja: az árhatás felbontása (Slutsky módszer), az intertemporális választás, a bizonytalan körülmények közti választás. A második részben az iparági szerkezetek területéről a legfontosabb modelleket tanulják meg a hallgatók: monopolista árdiszkrimináció és egyéb árazási módok, az oligopolmodellek és játékelméleti bevezetés. Végül az általános egyensúly elmélet, valamint a közjavak és az externáliák kérdéskörére kerül szóba.</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ind w:right="138"/>
              <w:jc w:val="both"/>
              <w:rPr>
                <w:rFonts w:ascii="Times New Roman" w:eastAsia="Calibri" w:hAnsi="Times New Roman" w:cs="Times New Roman"/>
                <w:sz w:val="20"/>
                <w:szCs w:val="20"/>
                <w:lang w:eastAsia="hu-HU"/>
              </w:rPr>
            </w:pPr>
          </w:p>
        </w:tc>
      </w:tr>
      <w:tr w:rsidR="00861A1C" w:rsidRPr="00861A1C" w:rsidTr="00C537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Előadás, feladatmegoldás, grafikus ábrázolások és matematikai formában felírt modellek.</w:t>
            </w: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vizsga írásbeli. Az írásbeli vizsgán elért eredmény adja a kollokviumi jegyet az alábbiak szerint:</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0 - 50% – elégtelen</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51% - 63% – elégséges</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64% - 75% – közepes</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76% - 86% – jó</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87% - 100% – jeles</w:t>
            </w: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lastRenderedPageBreak/>
              <w:t>Kötelező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Varian, Hal R</w:t>
            </w:r>
            <w:proofErr w:type="gramStart"/>
            <w:r w:rsidRPr="00861A1C">
              <w:rPr>
                <w:rFonts w:ascii="Times New Roman" w:eastAsia="Calibri" w:hAnsi="Times New Roman" w:cs="Times New Roman"/>
                <w:sz w:val="20"/>
                <w:szCs w:val="20"/>
                <w:lang w:eastAsia="hu-HU"/>
              </w:rPr>
              <w:t>.:</w:t>
            </w:r>
            <w:proofErr w:type="gramEnd"/>
            <w:r w:rsidRPr="00861A1C">
              <w:rPr>
                <w:rFonts w:ascii="Times New Roman" w:eastAsia="Calibri" w:hAnsi="Times New Roman" w:cs="Times New Roman"/>
                <w:sz w:val="20"/>
                <w:szCs w:val="20"/>
                <w:lang w:eastAsia="hu-HU"/>
              </w:rPr>
              <w:t xml:space="preserve"> Mikroökonómia középfokon. KJK Kerszöv, Budapest, 2001.</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Jack Hirschleifer, Amihai Glazer, David Hirschleifer (2009): Mikroökonómia - Árelmélet és alkalmazásai - Döntések, piacok és információk. Osiris Kiadó, 2009</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Berde, Éva (szerk.): Mikroökonómiai és piacelméleti példatár. TOKK, Budapest, 2009.</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Carlton, D. W. – Perloff, J. M.: Modern piacelmélet. Budapest: Panem. 2003. 19-20. fejezetek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Bergstrom, Theodore C. – Varian, Hal R</w:t>
            </w:r>
            <w:proofErr w:type="gramStart"/>
            <w:r w:rsidRPr="00861A1C">
              <w:rPr>
                <w:rFonts w:ascii="Times New Roman" w:eastAsia="Calibri" w:hAnsi="Times New Roman" w:cs="Times New Roman"/>
                <w:sz w:val="20"/>
                <w:szCs w:val="20"/>
                <w:lang w:eastAsia="hu-HU"/>
              </w:rPr>
              <w:t>.:</w:t>
            </w:r>
            <w:proofErr w:type="gramEnd"/>
            <w:r w:rsidRPr="00861A1C">
              <w:rPr>
                <w:rFonts w:ascii="Times New Roman" w:eastAsia="Calibri" w:hAnsi="Times New Roman" w:cs="Times New Roman"/>
                <w:sz w:val="20"/>
                <w:szCs w:val="20"/>
                <w:lang w:eastAsia="hu-HU"/>
              </w:rPr>
              <w:t xml:space="preserve"> Mikroökonómiai gyakorlatok. Veszprémi Egyetemi Kiadó, 2002.</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1A1C" w:rsidRPr="00861A1C" w:rsidTr="00C53713">
        <w:tc>
          <w:tcPr>
            <w:tcW w:w="9250"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Bevezetés: a mikroökonómia általános áttekintése</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Fogyasztói optimalizálás, termeléselmélet</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Slutsky egyenlet</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Az árhatás felbontás: teljes hatás, helyettesítési hatás, jövedelmi hatás</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Intertemporális választások</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Kamatláb szerepe, hitelfelvevő és kölcsönnyújtó fogyasztó döntése</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Bizonytalan körülmények közti választás</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Neumann-Morgenstern hasznossági függvény, kockázati attitűd, fair biztosítás</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Információs aszimmetria</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Kontraszelekció, erkölcsi kockázat, jelzés és szűréselmélet</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monopolista viselkedés</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Haszonkulcsos árképzés, árdiszkrimináció, egyéb árképzési módok</w:t>
            </w:r>
          </w:p>
        </w:tc>
      </w:tr>
      <w:tr w:rsidR="00861A1C" w:rsidRPr="00861A1C" w:rsidTr="00C53713">
        <w:trPr>
          <w:trHeight w:val="157"/>
        </w:trPr>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Oligopólium I.</w:t>
            </w:r>
          </w:p>
        </w:tc>
      </w:tr>
      <w:tr w:rsidR="00861A1C" w:rsidRPr="00861A1C" w:rsidTr="00C53713">
        <w:trPr>
          <w:trHeight w:val="156"/>
        </w:trPr>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Cournot és Stackelberg-modell</w:t>
            </w:r>
          </w:p>
        </w:tc>
      </w:tr>
      <w:tr w:rsidR="00861A1C" w:rsidRPr="00861A1C" w:rsidTr="00C53713">
        <w:trPr>
          <w:trHeight w:val="157"/>
        </w:trPr>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Oligopólium II.</w:t>
            </w:r>
          </w:p>
        </w:tc>
      </w:tr>
      <w:tr w:rsidR="00861A1C" w:rsidRPr="00861A1C" w:rsidTr="00C53713">
        <w:trPr>
          <w:trHeight w:val="156"/>
        </w:trPr>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Bertrand-modell, árvezérlés modellje</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Játékelmélet</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Játékok normál formája, domináns stratégia, Nash-egyensúly</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Általános egyensúly: a csere</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Szerződési görbe, jóléti közgazdaságtani főtételek</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Jólét</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Preferenciák aggregálása, szavazási paradoxon, Arrow lehetetlenségi tétele</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Externáliák</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Externáliák jóléti hatása, internalizálása, Pigou adó, Coase tétel</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Közjavak</w:t>
            </w:r>
          </w:p>
        </w:tc>
      </w:tr>
      <w:tr w:rsidR="00861A1C" w:rsidRPr="00861A1C" w:rsidTr="00C53713">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Tiszta és nem tiszta közjavak, közlegelő tragédiája, potyautas magatartás</w:t>
            </w:r>
          </w:p>
        </w:tc>
      </w:tr>
      <w:tr w:rsidR="00861A1C" w:rsidRPr="00861A1C" w:rsidTr="00C53713">
        <w:tc>
          <w:tcPr>
            <w:tcW w:w="1529" w:type="dxa"/>
            <w:vMerge w:val="restart"/>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Összefoglalás</w:t>
            </w:r>
          </w:p>
        </w:tc>
      </w:tr>
      <w:tr w:rsidR="00861A1C" w:rsidRPr="00861A1C" w:rsidTr="00C53713">
        <w:trPr>
          <w:trHeight w:val="70"/>
        </w:trPr>
        <w:tc>
          <w:tcPr>
            <w:tcW w:w="1529" w:type="dxa"/>
            <w:vMerge/>
            <w:shd w:val="clear" w:color="auto" w:fill="auto"/>
          </w:tcPr>
          <w:p w:rsidR="00861A1C" w:rsidRPr="00861A1C" w:rsidRDefault="00861A1C" w:rsidP="00861A1C">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Nemzetközi kereskedelemelmélet</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Arial Unicode MS" w:hAnsi="Times New Roman" w:cs="Times New Roman"/>
                <w:b/>
                <w:sz w:val="20"/>
                <w:szCs w:val="20"/>
                <w:lang w:eastAsia="hu-HU"/>
              </w:rPr>
              <w:t>GT_MNGN020-17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International Trade Theory</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Világgazdasági és Nemzetközi Kapcsolatok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Dr. Márkus Ádám</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beosztása</w:t>
            </w:r>
            <w:r w:rsidRPr="00861A1C">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adjunktus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w:t>
            </w:r>
          </w:p>
          <w:p w:rsidR="00861A1C" w:rsidRPr="00861A1C" w:rsidRDefault="00861A1C"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képessé váljanak a nemzetközi kereskedelem kérdéseinek elemzésére, és ennek érdekében olyan eszközökkel, modellekkel megismertetni őket, amelyek túlmutatnak a bevezető kurzusok anyagán. A tárgy a bevezető kurzusnál mélyebben és részletesebben foglalkozik a kereskedelemelmélet modelljeivel, a kereskedelempolitika eszközrendszerével és jóléti hatásaikkal</w:t>
            </w:r>
          </w:p>
        </w:tc>
      </w:tr>
      <w:tr w:rsidR="009C36B2"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36B2" w:rsidRPr="00861A1C" w:rsidRDefault="009C36B2" w:rsidP="009C36B2">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C36B2" w:rsidRPr="00861A1C" w:rsidRDefault="009C36B2" w:rsidP="009C36B2">
            <w:pPr>
              <w:spacing w:after="0" w:line="240" w:lineRule="auto"/>
              <w:jc w:val="both"/>
              <w:rPr>
                <w:rFonts w:ascii="Times New Roman" w:eastAsia="Calibri" w:hAnsi="Times New Roman" w:cs="Times New Roman"/>
                <w:b/>
                <w:bCs/>
                <w:sz w:val="20"/>
                <w:szCs w:val="20"/>
                <w:lang w:eastAsia="hu-HU"/>
              </w:rPr>
            </w:pPr>
          </w:p>
          <w:p w:rsidR="009C36B2" w:rsidRPr="00861A1C" w:rsidRDefault="009C36B2" w:rsidP="009C36B2">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Elsajátította a gazdaságtudomány, illetve a gazdaság mikro és makro szerveződési szintjeinek fogalmait, elméleteit, folyamatait és jellemzőit, ismeri a meghatározó gazdasági tényeket.</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és érti a szak kutatásához, szakirodalmi eredmények feldolgozásához, illetve innovatív gyakorlati munkához szükséges problémamegoldó technikákat, a munkatársak, csoportok, illetve projektek, nagyobb szervezetek irányítási módszereit, a stratégiai tervezés és menedzsment vállalati, állami, regionális és globális módszereit.</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elemzési és problémamegoldási módszereket, ezek alkalmazási feltételeit és korlátait.</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9C36B2" w:rsidRPr="00861A1C" w:rsidRDefault="009C36B2" w:rsidP="009C36B2">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9C36B2" w:rsidRPr="00861A1C" w:rsidRDefault="009C36B2" w:rsidP="009C36B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9C36B2" w:rsidRPr="00861A1C" w:rsidRDefault="009C36B2" w:rsidP="009C36B2">
            <w:pPr>
              <w:spacing w:after="0" w:line="240" w:lineRule="auto"/>
              <w:ind w:left="416"/>
              <w:rPr>
                <w:rFonts w:ascii="Times New Roman" w:eastAsia="Calibri" w:hAnsi="Times New Roman" w:cs="Times New Roman"/>
                <w:b/>
                <w:bCs/>
                <w:sz w:val="20"/>
                <w:szCs w:val="20"/>
                <w:lang w:eastAsia="hu-HU"/>
              </w:rPr>
            </w:pPr>
            <w:r w:rsidRPr="00861A1C">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9C36B2">
            <w:pPr>
              <w:spacing w:after="0" w:line="240" w:lineRule="auto"/>
              <w:ind w:left="416"/>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lastRenderedPageBreak/>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Nyitott és befogadó a gazdaságtudomány és gyakorlat új eredményei iránt.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Vállalja és hitelesen képviseli szakmája társadalmi szerepét, alapvető viszonyát a világhoz.</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Elkötelezett az általános társadalmi értékek mellett, szociálisan érzékeny mind hazai, mind nemzetközi viszonylatban.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Szervezetpolitikai, stratégiai, irányítási szempontból jelentős területeken is önállóan választja ki és alkalmazza a releváns problémamegoldási módszereket, önállóan lát el gazdasági elemző, döntés-előkészítő, tanácsadói feladatokat. Önállóan létesít, szervez és irányít nagyobb méretű vállalkozást, vagy nagyobb szervezetet, szervezeti egységet is.</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nemzetközi kereskedelemelmélet tárgyköre. A nemzetközi kereskedelem struktúrájának változásai, a gravitációs modell. A ricardói modell összetettebb megközelítése. A specifikus tényezők modellje és összetettebb megközelítései. A Heckscher-Ohlin modell és általánosításai. A külkereskedelem alapmodellje. Méretgazdaságosság, tökéletlen verseny és nemzetközi kereskedelem. Részletesen az ágazaton belüli kereskedelemről, Nemzetközi tényezőmozgások. Nemzetközi termelésmegosztás</w:t>
            </w:r>
          </w:p>
          <w:p w:rsidR="00861A1C" w:rsidRPr="00861A1C" w:rsidRDefault="00861A1C" w:rsidP="00861A1C">
            <w:pPr>
              <w:spacing w:after="0" w:line="240" w:lineRule="auto"/>
              <w:ind w:right="138"/>
              <w:jc w:val="both"/>
              <w:rPr>
                <w:rFonts w:ascii="Times New Roman" w:eastAsia="Calibri" w:hAnsi="Times New Roman" w:cs="Times New Roman"/>
                <w:sz w:val="20"/>
                <w:szCs w:val="20"/>
                <w:lang w:eastAsia="hu-HU"/>
              </w:rPr>
            </w:pPr>
          </w:p>
        </w:tc>
      </w:tr>
      <w:tr w:rsidR="00861A1C" w:rsidRPr="00861A1C" w:rsidTr="009C36B2">
        <w:trPr>
          <w:trHeight w:val="91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Interaktív előadások, modellezés és komparatív statika. A gyakorlatokon számítási példák, gazdaságpolitikai alkalmazások, szimuláció és esettanulmánymegoldás.</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Csoportos projekt, cikkfeldolgozás, házi feladatok</w:t>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t>40%</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Zárthelyi dolgozat</w:t>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r>
            <w:r w:rsidRPr="00861A1C">
              <w:rPr>
                <w:rFonts w:ascii="Times New Roman" w:eastAsia="Calibri" w:hAnsi="Times New Roman" w:cs="Times New Roman"/>
                <w:sz w:val="20"/>
                <w:szCs w:val="20"/>
                <w:lang w:eastAsia="hu-HU"/>
              </w:rPr>
              <w:tab/>
              <w:t>60%</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0-59% elégtelen, 60-69% elégséges, 70-79% közepes, 80-89% jó, 90-100% jeles</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Krugman, P. R. – Obstfeld, M. (2009): Nemzetközi gazdaságtan, elmélet és gazdaságpolitika, Panem Kiadó, Budapest (kijelölt részek)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Krugman, P. R.–Obstfeld, M.—Melitz, M. J. (2018): International Economics – Theory and Policy, 11th Edition, Pearson Global Edition (kijelölt részek)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Caves, R. E.—Frankel, J. A.—Jones, R. W. (2007): World Trade and Payments, An Introduction, 10th Edition, Pearson International Edition (kijelölt részek)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félév során kiadott cikkgyűjtemény</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ENSZ Comtrade adatbázisa</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Krugman, P. R.–Obstfeld, M.—Melitz, M. J. (2018): International Economics – Theory and Policy, 11th Edition, Pearson Global Edition (3-6. fejezet)</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Caves, R. E.—Frankel, J. A.—Jones, R. W. (2007): World Trade and Payments, An Introduction, 10th Edition, Pearson International Edition (1-7., 9. fejezet)</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Dunn, R. M. Jr.—Mutti, John H</w:t>
            </w:r>
            <w:proofErr w:type="gramStart"/>
            <w:r w:rsidRPr="00861A1C">
              <w:rPr>
                <w:rFonts w:ascii="Times New Roman" w:eastAsia="Calibri" w:hAnsi="Times New Roman" w:cs="Times New Roman"/>
                <w:sz w:val="20"/>
                <w:szCs w:val="20"/>
                <w:lang w:eastAsia="hu-HU"/>
              </w:rPr>
              <w:t>.:</w:t>
            </w:r>
            <w:proofErr w:type="gramEnd"/>
            <w:r w:rsidRPr="00861A1C">
              <w:rPr>
                <w:rFonts w:ascii="Times New Roman" w:eastAsia="Calibri" w:hAnsi="Times New Roman" w:cs="Times New Roman"/>
                <w:sz w:val="20"/>
                <w:szCs w:val="20"/>
                <w:lang w:eastAsia="hu-HU"/>
              </w:rPr>
              <w:t xml:space="preserve"> International Economics, 6th Edition, Routledge, London and New York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Feenstra, Robert C.: Advanced International Trade – Theory and Evidence, 2016, 2nd Edition, Princeton University Press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Choi, E. K.—Harrigan, J (editors): Handbook of International Trade, Blackwell, 2003</w:t>
            </w:r>
          </w:p>
          <w:p w:rsidR="00861A1C" w:rsidRPr="00861A1C" w:rsidRDefault="00861A1C" w:rsidP="009C36B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Gandolfo, Giancarlo (2013): International Trade Theory and Policy, 2nd Edition, Springer</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861A1C" w:rsidRPr="00861A1C" w:rsidTr="00F76266">
        <w:tc>
          <w:tcPr>
            <w:tcW w:w="9024"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Bevezetés, a követelmények ismertetése, A nemzetközi kereskedelemelmélet tárgyköre</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külkereskedelem haszna, a külkereskedelem szerkezete, protekcionizmus, nemzetközi gazdaságpolitikai koordináció</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nemzetközi kereskedelem struktúrájának változásai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nemzetközi kereskedelem a XX. és a XXI. sz. elején, várható elmozdulások, szolgáltatáskereskedelem, offshoring és reshoring</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gravitációs modell</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külkereskedelem gravitációs modelljének alapjai, a kiterjesztett gravitációs modell, a határok hatása a kereskedelemre, a panelregressziós becslések alapjai</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ricardói modell 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komparatív előny fogalma, az egytényezős gazdaság, külkereskedelem az egytényezős világban, téveszmék a komparatív előnyökről, a modell érvényesülése a gyakorlatban</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ricardói modell II.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komparatív előny sok termékkel, a szállítási költségek és a külkereskedelemből kimaradó áruk bevezetése a modellbe, nagy vs. kis ország kereskedelme, a bérek meghatározódása a 2*2*1-es modellben, komparatív statika, a Dornbusch-Fisher-Samuelson modell, az Eaton-Kortum modell</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specifikus tényezők modellje 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modell feltevései, külkereskedelem a modellben, jövdelemeloszlás és a külkereskedelem haszna, a külkereskedelem poltitikai gazdaságtana</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specifikus tényezők modellje II.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Rybczinksi hatás a modellben, Jones algebra, holland kór</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Heckscher-Ohlin modell 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kéttényezős gazdaság modellje, a kéttényezős gazdaságok közötti kereskedelem hatásai, a HO-modell tapasztalati bizonyítékai</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Heckscher-Ohlin modell II.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HO-modell mint a neoklasszikus modell egyik esete, a Heckscher-Ohlin-Vanek-elmélet, az elveszett kereskedelem elmélete, általánosítások, a technológia és a modell kapcsolata</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külkereskedelem alapmodellje. Méretgazdaságosság és a tökéletes versenyen túl.</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kereskedő gazdaság alapmodellje, az RD, az RS és a két görbe együttes eltolódásai</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Méretgazdaságosság, tökéletlen verseny és nemzetközi kereskedelem 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külső vs. belső méretgazdaságosság, agglomerációs előnyök</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Méretgazdaságosság, tökéletlen verseny és nemzetközi kereskedelem II.</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tökéletlen verseny és külkereskedelem: a monopolisztikus verseny modellje, oligopol megközelítések, viszonos dömping, a Melitz-modell</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Részletesen az ágazaton belüli kereskedelemről</w:t>
            </w:r>
          </w:p>
        </w:tc>
      </w:tr>
      <w:tr w:rsidR="00861A1C" w:rsidRPr="00861A1C" w:rsidTr="00F76266">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horizontális és vertikális ágazaton belüli kereskedelem, elméleteik, mérésük, tendenciáik</w:t>
            </w:r>
          </w:p>
        </w:tc>
      </w:tr>
      <w:tr w:rsidR="00861A1C" w:rsidRPr="00861A1C" w:rsidTr="00F76266">
        <w:tc>
          <w:tcPr>
            <w:tcW w:w="1485" w:type="dxa"/>
            <w:vMerge w:val="restart"/>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Nemzetközi termelésmegosztás</w:t>
            </w:r>
          </w:p>
        </w:tc>
      </w:tr>
      <w:tr w:rsidR="00861A1C" w:rsidRPr="00861A1C" w:rsidTr="00F76266">
        <w:trPr>
          <w:trHeight w:val="70"/>
        </w:trPr>
        <w:tc>
          <w:tcPr>
            <w:tcW w:w="1485" w:type="dxa"/>
            <w:vMerge/>
            <w:shd w:val="clear" w:color="auto" w:fill="auto"/>
          </w:tcPr>
          <w:p w:rsidR="00861A1C" w:rsidRPr="00861A1C" w:rsidRDefault="00861A1C" w:rsidP="00861A1C">
            <w:pPr>
              <w:numPr>
                <w:ilvl w:val="0"/>
                <w:numId w:val="3"/>
              </w:numPr>
              <w:spacing w:after="0" w:line="240" w:lineRule="auto"/>
              <w:rPr>
                <w:rFonts w:ascii="Times New Roman" w:eastAsia="Calibri" w:hAnsi="Times New Roman" w:cs="Times New Roman"/>
                <w:sz w:val="20"/>
                <w:szCs w:val="20"/>
                <w:lang w:eastAsia="hu-HU"/>
              </w:rPr>
            </w:pPr>
          </w:p>
        </w:tc>
        <w:tc>
          <w:tcPr>
            <w:tcW w:w="7539"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fragmentáció, trade of tasks, internalizációs kérdések</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Haladó makroökonómia</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16"/>
                <w:lang w:eastAsia="hu-HU"/>
              </w:rPr>
            </w:pPr>
            <w:r w:rsidRPr="00861A1C">
              <w:rPr>
                <w:rFonts w:ascii="Times New Roman" w:eastAsia="Arial Unicode MS" w:hAnsi="Times New Roman" w:cs="Times New Roman"/>
                <w:sz w:val="20"/>
                <w:szCs w:val="16"/>
                <w:lang w:eastAsia="hu-HU"/>
              </w:rPr>
              <w:t>GT_MNGN015-17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Advanced Macroeconomics</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r w:rsidRPr="00861A1C">
              <w:rPr>
                <w:rFonts w:ascii="Times New Roman" w:eastAsia="Calibri" w:hAnsi="Times New Roman" w:cs="Times New Roman"/>
                <w:b/>
                <w:bCs/>
                <w:sz w:val="24"/>
                <w:szCs w:val="24"/>
                <w:lang w:eastAsia="hu-HU"/>
              </w:rPr>
              <w:t>2020/2021. tanév 2. félév</w:t>
            </w: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Debreceni Egyetem Gazdaságtudományi Kar Közgazdaságtan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beosztása</w:t>
            </w:r>
            <w:r w:rsidRPr="00861A1C">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egyetemi docens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számára makroökonómiai kérdések modellszerű megközelítésébe nyújtson betekintést, különös tekintettel az explicit mikroökonómiai megalapozású, általános egyensúlyi megközelítést alkalmazó modellekre. A tárgy ebben épít a hallgatók már meglévő makroökonómiai ismereteire is. A tárgy célja egyrészt az, hogy a hallgatók megtanuljanak modellszerűen gondolkodni a makroökonómiai kérdésekről, másrészt az, hogy képesek legyenek a makroökonómiai szakirodalom értő feldolgozására.</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Nyitott és befogadó a gazdaságtudomány és gyakorlat új eredményei iránt.</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Bekapcsolódik kutatási és fejlesztési projektekbe, a projektcsoportban a cél elérése érdekében autonóm módon, a csoport többi tagjával együttműködve mozgósítja elméleti és gyakorlati tudását, képességeit.</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kurzus négy blokkból áll. Az első rész a gazdasági növekedés két alapvető modelljével foglalkozik. Az második az alapszakon megtanult aggregált keresleti – aggregált kínálati modellt fejleszti tovább az aggregált kínálat többfajta levezetésével és a modell dinamizálásával A harmadik egy egyszerű reál üzleti ciklus modellt épít fel grafikus formában és a gazdaság ingadozások megértésén túl egyéb kérdések megértésére is használja. A negyedik rész különböző egymástól elkülönülő témákat elemez, mint a munkanélküliség különböző megközelítései, vagy az árszínvonal fiskális elmélete</w:t>
            </w:r>
          </w:p>
          <w:p w:rsidR="00861A1C" w:rsidRPr="00861A1C" w:rsidRDefault="00861A1C" w:rsidP="00861A1C">
            <w:pPr>
              <w:spacing w:after="0" w:line="240" w:lineRule="auto"/>
              <w:ind w:right="138"/>
              <w:jc w:val="both"/>
              <w:rPr>
                <w:rFonts w:ascii="Times New Roman" w:eastAsia="Calibri" w:hAnsi="Times New Roman" w:cs="Times New Roman"/>
                <w:sz w:val="20"/>
                <w:szCs w:val="20"/>
                <w:lang w:eastAsia="hu-HU"/>
              </w:rPr>
            </w:pPr>
          </w:p>
        </w:tc>
      </w:tr>
      <w:tr w:rsidR="00861A1C" w:rsidRPr="00861A1C" w:rsidTr="00C537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A kurzus egyrészt klasszikus előadásból áll, amelyek során a modellek </w:t>
            </w:r>
            <w:proofErr w:type="gramStart"/>
            <w:r w:rsidRPr="00861A1C">
              <w:rPr>
                <w:rFonts w:ascii="Times New Roman" w:eastAsia="Calibri" w:hAnsi="Times New Roman" w:cs="Times New Roman"/>
                <w:sz w:val="20"/>
                <w:szCs w:val="20"/>
                <w:lang w:eastAsia="hu-HU"/>
              </w:rPr>
              <w:t>építjük</w:t>
            </w:r>
            <w:proofErr w:type="gramEnd"/>
            <w:r w:rsidRPr="00861A1C">
              <w:rPr>
                <w:rFonts w:ascii="Times New Roman" w:eastAsia="Calibri" w:hAnsi="Times New Roman" w:cs="Times New Roman"/>
                <w:sz w:val="20"/>
                <w:szCs w:val="20"/>
                <w:lang w:eastAsia="hu-HU"/>
              </w:rPr>
              <w:t xml:space="preserve"> fel értelmezzük, esetleg kritizáljuk. A szemináriumokon a hallgatók egyrészt feladatok oldanak meg, amelyek célja a modellek mélyebb megértése, másrészt a tanulmányokat dolgoznak fel, amellyel a modellek alkalmazhatóságába kapnak betekintést.</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vizsga szóbeli, amire előre meghatározott tételsor alapján lehet felkészülni. Vizsgát az tehet, aki részt vesz a szemináriumokon, 50 százaléknál jobb eredményt ér el a zárthelyi dolgozaton vagy az évközben kiadott feladatok megoldásával és tartott kiselőadást. A vizsga értékelésénél – feltéve, hogy a felelet nem elégtelen – figyelembe vehető az, hogy a hallgató által tartott kiselőadás milyen színvonalú volt, illetve azt, hogy mennyire aktívan vett részt a szemináriumokon a szakirodalmak feldolgozásában. (A kiselőadás színvonala az alapján ítélhető meg, hogy mennyire szakszerű az előadás és milyen alaposan készül fel rá a hallgató (pl. prezentációs eszközökkel).)</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lastRenderedPageBreak/>
              <w:t>Kötelező szakirodalom:</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Stephen D.: Makroökonómia. Osiris, Budapest, 2009.</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Pete Péter: Bevezetés a monetáris makroökonómiába. Osiris, Budapest, 1996.</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Gregory Mankiw: Makroökonómia. Osiris, Budapest, 1999.</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Misz József – Palotai Dániel: Makroökonómia feladatgyűjtemény. Panem, Budapest, 2004. (az adott tananyaghoz tartozó részek)</w:t>
            </w: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Gregory Mankiw: Makroökonómia. Osiris, Budapest, 1999. </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Misz József – Palotai Dániel: Makroökonómia feladatgyűjtemény. Panem, Budapest, 2004.</w:t>
            </w: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p>
          <w:p w:rsidR="00861A1C" w:rsidRPr="00861A1C" w:rsidRDefault="00861A1C" w:rsidP="00861A1C">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szemináriumok illetve kiselőadások anyagai:</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Ábel István – Siklos, Pierre L. (2007): Mindentől függetlenül. A monetáris politika hatása a gazdasági ciklusra Magyarországon. Közgazdasági Szemle, 54. évf., 2007. 11. sz. 945–959. o.</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Auerbach, A. J. – Gale, W. G. – Harris, B. H. (2010): Activist Fiscal Policy. Journal of Economic Perspectives 24.4:141–164.</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Blanchard, O. (2018): Should We Reject the Natural Rate Hypothesis? Journal of Economic Perspectives, Vol. 32, </w:t>
            </w:r>
            <w:proofErr w:type="gramStart"/>
            <w:r w:rsidRPr="00861A1C">
              <w:rPr>
                <w:rFonts w:ascii="Times New Roman" w:eastAsia="Calibri" w:hAnsi="Times New Roman" w:cs="Times New Roman"/>
                <w:sz w:val="20"/>
                <w:szCs w:val="20"/>
                <w:lang w:eastAsia="hu-HU"/>
              </w:rPr>
              <w:t>No</w:t>
            </w:r>
            <w:proofErr w:type="gramEnd"/>
            <w:r w:rsidRPr="00861A1C">
              <w:rPr>
                <w:rFonts w:ascii="Times New Roman" w:eastAsia="Calibri" w:hAnsi="Times New Roman" w:cs="Times New Roman"/>
                <w:sz w:val="20"/>
                <w:szCs w:val="20"/>
                <w:lang w:eastAsia="hu-HU"/>
              </w:rPr>
              <w:t xml:space="preserve"> 1, pp. 97–120.</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Brunnermeier, M. – Ries</w:t>
            </w:r>
            <w:proofErr w:type="gramStart"/>
            <w:r w:rsidRPr="00861A1C">
              <w:rPr>
                <w:rFonts w:ascii="Times New Roman" w:eastAsia="Calibri" w:hAnsi="Times New Roman" w:cs="Times New Roman"/>
                <w:sz w:val="20"/>
                <w:szCs w:val="20"/>
                <w:lang w:eastAsia="hu-HU"/>
              </w:rPr>
              <w:t>,R</w:t>
            </w:r>
            <w:proofErr w:type="gramEnd"/>
            <w:r w:rsidRPr="00861A1C">
              <w:rPr>
                <w:rFonts w:ascii="Times New Roman" w:eastAsia="Calibri" w:hAnsi="Times New Roman" w:cs="Times New Roman"/>
                <w:sz w:val="20"/>
                <w:szCs w:val="20"/>
                <w:lang w:eastAsia="hu-HU"/>
              </w:rPr>
              <w:t xml:space="preserve">. (2019): A Crash Course on the Euro Crisis. National Bureau of Economic Research Working Paper 26229. </w:t>
            </w:r>
            <w:hyperlink r:id="rId7" w:history="1">
              <w:r w:rsidRPr="00861A1C">
                <w:rPr>
                  <w:rFonts w:ascii="Times New Roman" w:eastAsia="Calibri" w:hAnsi="Times New Roman" w:cs="Times New Roman"/>
                  <w:color w:val="0000FF"/>
                  <w:sz w:val="20"/>
                  <w:szCs w:val="20"/>
                  <w:u w:val="single"/>
                  <w:lang w:eastAsia="hu-HU"/>
                </w:rPr>
                <w:t>link</w:t>
              </w:r>
            </w:hyperlink>
            <w:r w:rsidRPr="00861A1C">
              <w:rPr>
                <w:rFonts w:ascii="Times New Roman" w:eastAsia="Calibri" w:hAnsi="Times New Roman" w:cs="Times New Roman"/>
                <w:sz w:val="20"/>
                <w:szCs w:val="20"/>
                <w:lang w:eastAsia="hu-HU"/>
              </w:rPr>
              <w:t xml:space="preserve"> </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Friedman, M. (1977): Infláció és munkanélküliség. Megjelent: Friedman, M. (1986): Infláció, munkanélküliség, monetarizmus. Közgazdasági és jogik Könyvkiadó, Budapest, 1986. 240-263. o.</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Hall, R. E. – Sargent. Th. J. (2018): Short-Run and Long-Run Effects of Milton Friedman’s Presidential Address. Journal of Economic Perspectives, Vol. 32, No. 1, pp. 121–134.</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Halmai P. (2018): Az európai növekedési modell kifulladása. Közgazdasági Szemle, 65. évf., 2. sz., 122-160.</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Kónya István (2015): Több gép vagy nagyobb hatékonyság? Közgazdasági Szemle 62.11:1117-1139.</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Kertesi Gábor– Köllő János (2004): A 2001. évi minimálbér-emelés foglalkoztatási következményei. Közgazdasági Szemle 51. évf., 4. sz. 293-324. o.</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Lengyel I. –  Varga </w:t>
            </w:r>
            <w:proofErr w:type="gramStart"/>
            <w:r w:rsidRPr="00861A1C">
              <w:rPr>
                <w:rFonts w:ascii="Times New Roman" w:eastAsia="Calibri" w:hAnsi="Times New Roman" w:cs="Times New Roman"/>
                <w:sz w:val="20"/>
                <w:szCs w:val="20"/>
                <w:lang w:eastAsia="hu-HU"/>
              </w:rPr>
              <w:t>A</w:t>
            </w:r>
            <w:proofErr w:type="gramEnd"/>
            <w:r w:rsidRPr="00861A1C">
              <w:rPr>
                <w:rFonts w:ascii="Times New Roman" w:eastAsia="Calibri" w:hAnsi="Times New Roman" w:cs="Times New Roman"/>
                <w:sz w:val="20"/>
                <w:szCs w:val="20"/>
                <w:lang w:eastAsia="hu-HU"/>
              </w:rPr>
              <w:t>. (2018): A magyar gazdasági növekedés térbeli korlátai – helyzetkép és alapvető dilemmák. Közgazdasági Szemle, 65 évf., 5. sz., 499-524.</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Murphy, K. M. – Shleifer, A. – Vishny, R. W. (2009[1991]): A tehetségallokáció hatása a növekedésre. Megjelent: Murphy, K. M. (2009): Hódító közgazdaságtan. Alienea Kiadó – Rajk Szakkollégium, Budapest. 9-38. o.</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Magyar Nemzeti Bank (2018): Növekedési Jelentés. Magyar Nemzeti Bank, Budapest, pp. 39-72. </w:t>
            </w:r>
            <w:hyperlink r:id="rId8" w:history="1">
              <w:r w:rsidRPr="00861A1C">
                <w:rPr>
                  <w:rFonts w:ascii="Times New Roman" w:eastAsia="Calibri" w:hAnsi="Times New Roman" w:cs="Times New Roman"/>
                  <w:color w:val="0000FF"/>
                  <w:sz w:val="20"/>
                  <w:szCs w:val="20"/>
                  <w:u w:val="single"/>
                  <w:lang w:eastAsia="hu-HU"/>
                </w:rPr>
                <w:t>link</w:t>
              </w:r>
            </w:hyperlink>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Ohanian, L. E. (2010): The Economic Crisis from a Neoclassical Perspective. Journal of Economic Perspectives 24.4:45–66</w:t>
            </w:r>
          </w:p>
          <w:p w:rsidR="00861A1C" w:rsidRPr="00861A1C" w:rsidRDefault="00861A1C" w:rsidP="00861A1C">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Sargent, Th. (2005): Hogyan ért véget négy súlyos inflációs időszak? Megjelent: Sargent, Th. (2005): Infláció és racionális várakozások. Nemzeti Tankönyvkiadó, Budapest 57-123. o.</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728"/>
        <w:gridCol w:w="2977"/>
      </w:tblGrid>
      <w:tr w:rsidR="00861A1C" w:rsidRPr="00861A1C" w:rsidTr="00C53713">
        <w:tc>
          <w:tcPr>
            <w:tcW w:w="9171" w:type="dxa"/>
            <w:gridSpan w:val="3"/>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C53713">
        <w:tc>
          <w:tcPr>
            <w:tcW w:w="466" w:type="dxa"/>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téma</w:t>
            </w:r>
          </w:p>
        </w:tc>
        <w:tc>
          <w:tcPr>
            <w:tcW w:w="2977" w:type="dxa"/>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tananyag</w:t>
            </w: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Ismétlés: makroökonómiai változók mérése, a makroökonómia kérdései, és stilizált tényei.</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3-93</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ind w:left="568"/>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legfontosabb makroökonómia aggregátumok jelentésének megértése, és az idősoraikra, összefüggéseikre vonatkozó stilizált tények ismerete.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2.</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Gazdasági növekedés: a Malthus modell és a Harrod-Domar-modell.</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179-195+ az előadáson elhangzottak</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ind w:left="568"/>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népességnövekedés és a jövedelemnövekedés összefüggése fix termelési tényező mellett, a tőkeakkumuláció szerepének megértése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3.</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Solow-modell</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195-230+ az előadáson elhangzottak</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ind w:left="568"/>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modell steady state-jének levezetése, a technológiai változás jelentősége.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4.</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Aggregált kereslet, és az aggregált kínálat négy modellje.</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Pete, 83-95</w:t>
            </w:r>
          </w:p>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Mankiw, 359-372</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Az IS-LM modell formális levezetése, az aggregált kínálat különböző levezetéseinek és a közöttük lévő különbségek megértése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5.</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gazdaságpolitika tehetetlenségi tétele</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Pete, 106-128. o</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tétel levezetése, ebben a racionális várakozások szerepe, és a tétel jelentőségének megértése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6.</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aggregát kínálat és aggregált kereslet dinamikus modellje</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előadáson elhangzottak és a diák</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„dinamizálás” értelmezése az öt egyenletes modell áttekintésére való képesség</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7.</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egy időszakos makroökonómiai modell általános egyensúlyi keretben I</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97-178</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reprezentatív szereplők viselkedésének megértése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rPr>
          <w:trHeight w:val="167"/>
        </w:trPr>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8.</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egy időszakos makroökonómiai modell általános egyensúlyi keretben II</w:t>
            </w:r>
          </w:p>
        </w:tc>
        <w:tc>
          <w:tcPr>
            <w:tcW w:w="2977"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97-178</w:t>
            </w:r>
          </w:p>
        </w:tc>
      </w:tr>
      <w:tr w:rsidR="00861A1C" w:rsidRPr="00861A1C" w:rsidTr="00C53713">
        <w:trPr>
          <w:trHeight w:val="166"/>
        </w:trPr>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Az általános egyensúlyi logika, és a modell működtetésére való képesség.</w:t>
            </w:r>
          </w:p>
        </w:tc>
        <w:tc>
          <w:tcPr>
            <w:tcW w:w="2977"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lastRenderedPageBreak/>
              <w:t>9.</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intertemporális modell, és a ricardói ekvivalencia</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249-305.</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megtakarítási döntés modellje, az államadósság jelentősége</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10.</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gazdasági ciklusok egyensúlyi magyarázatai I</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306-353, 395-429</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Az egyperiódusos modell kétperiódusossá való bővítése, az optimalitási kritériumok értelmezése a modell grafikus reprezentációja.</w:t>
            </w:r>
          </w:p>
        </w:tc>
        <w:tc>
          <w:tcPr>
            <w:tcW w:w="2977" w:type="dxa"/>
            <w:vMerge/>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
        </w:tc>
      </w:tr>
      <w:tr w:rsidR="00861A1C" w:rsidRPr="00861A1C" w:rsidTr="00C53713">
        <w:trPr>
          <w:trHeight w:val="194"/>
        </w:trPr>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11.</w:t>
            </w:r>
          </w:p>
        </w:tc>
        <w:tc>
          <w:tcPr>
            <w:tcW w:w="5728" w:type="dxa"/>
            <w:shd w:val="clear" w:color="auto" w:fill="auto"/>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gazdasági ciklusok egyensúlyi magyarázatai II</w:t>
            </w:r>
          </w:p>
        </w:tc>
        <w:tc>
          <w:tcPr>
            <w:tcW w:w="2977"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Williamson, 306-353, 395-429</w:t>
            </w:r>
          </w:p>
        </w:tc>
      </w:tr>
      <w:tr w:rsidR="00861A1C" w:rsidRPr="00861A1C" w:rsidTr="00C53713">
        <w:trPr>
          <w:trHeight w:val="194"/>
        </w:trPr>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modell működtetése, a technológiai sokk hatásának értelmezése, a pénz és a pénzpiaci bevezetése a modellbe</w:t>
            </w:r>
          </w:p>
        </w:tc>
        <w:tc>
          <w:tcPr>
            <w:tcW w:w="2977"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12.</w:t>
            </w: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Munkanélküliség hosszú távon: keresési modell (DMP) modell</w:t>
            </w:r>
          </w:p>
        </w:tc>
        <w:tc>
          <w:tcPr>
            <w:tcW w:w="2977" w:type="dxa"/>
            <w:vMerge w:val="restart"/>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előadáson elhangzottak</w:t>
            </w:r>
          </w:p>
        </w:tc>
      </w:tr>
      <w:tr w:rsidR="00861A1C" w:rsidRPr="00861A1C" w:rsidTr="00C53713">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modellek feltevéseinek megértése, az egyensúly levezetése, a modellek korlátai</w:t>
            </w:r>
          </w:p>
        </w:tc>
        <w:tc>
          <w:tcPr>
            <w:tcW w:w="2977" w:type="dxa"/>
            <w:vMerge/>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rPr>
          <w:trHeight w:val="143"/>
        </w:trPr>
        <w:tc>
          <w:tcPr>
            <w:tcW w:w="466"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13.</w:t>
            </w:r>
          </w:p>
        </w:tc>
        <w:tc>
          <w:tcPr>
            <w:tcW w:w="5728" w:type="dxa"/>
            <w:shd w:val="clear" w:color="auto" w:fill="auto"/>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Seigniorage és hiperinfláció; az árszínvonal fiskális elmélete</w:t>
            </w:r>
          </w:p>
        </w:tc>
        <w:tc>
          <w:tcPr>
            <w:tcW w:w="2977" w:type="dxa"/>
            <w:vMerge w:val="restart"/>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előadáson elhangzottak</w:t>
            </w:r>
          </w:p>
        </w:tc>
      </w:tr>
      <w:tr w:rsidR="00861A1C" w:rsidRPr="00861A1C" w:rsidTr="00C53713">
        <w:trPr>
          <w:trHeight w:val="143"/>
        </w:trPr>
        <w:tc>
          <w:tcPr>
            <w:tcW w:w="466"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5728" w:type="dxa"/>
            <w:shd w:val="clear" w:color="auto" w:fill="auto"/>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„monetáris Laffer-görbe” levezetése és értelmezése; a fiskális és a monetáris politika összefüggéseinek értelmezése a kormányzat költségvetési korlátján keresztül</w:t>
            </w:r>
          </w:p>
        </w:tc>
        <w:tc>
          <w:tcPr>
            <w:tcW w:w="2977" w:type="dxa"/>
            <w:vMerge/>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rPr>
          <w:trHeight w:val="475"/>
        </w:trPr>
        <w:tc>
          <w:tcPr>
            <w:tcW w:w="466" w:type="dxa"/>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14.</w:t>
            </w:r>
          </w:p>
        </w:tc>
        <w:tc>
          <w:tcPr>
            <w:tcW w:w="5728" w:type="dxa"/>
            <w:shd w:val="clear" w:color="auto" w:fill="auto"/>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Összefoglalás</w:t>
            </w:r>
          </w:p>
        </w:tc>
        <w:tc>
          <w:tcPr>
            <w:tcW w:w="2977" w:type="dxa"/>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861A1C" w:rsidRPr="00861A1C" w:rsidRDefault="00861A1C" w:rsidP="00861A1C">
      <w:pPr>
        <w:spacing w:after="0" w:line="240" w:lineRule="auto"/>
        <w:rPr>
          <w:rFonts w:ascii="Times New Roman" w:eastAsia="Calibri" w:hAnsi="Times New Roman" w:cs="Times New Roman"/>
          <w:sz w:val="20"/>
          <w:szCs w:val="20"/>
          <w:lang w:eastAsia="hu-HU"/>
        </w:rPr>
      </w:pP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Nemzetközi pénzügyek</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Cs/>
                <w:sz w:val="20"/>
                <w:szCs w:val="20"/>
                <w:lang w:eastAsia="hu-HU"/>
              </w:rPr>
            </w:pPr>
            <w:r w:rsidRPr="00861A1C">
              <w:rPr>
                <w:rFonts w:ascii="Times New Roman" w:eastAsia="Arial Unicode MS" w:hAnsi="Times New Roman" w:cs="Times New Roman"/>
                <w:bCs/>
                <w:sz w:val="20"/>
                <w:szCs w:val="20"/>
                <w:lang w:eastAsia="hu-HU"/>
              </w:rPr>
              <w:t>GT_MNGN009-17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International finance</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Debreceni Egyetem, Gazdaságtudományi Kar, Számviteli és Pénzügyi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Dr. Szabó Andrea</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beosztása</w:t>
            </w:r>
            <w:r w:rsidRPr="00861A1C">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adjunktus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A kurzus célja</w:t>
            </w:r>
          </w:p>
          <w:p w:rsidR="00861A1C" w:rsidRPr="00861A1C" w:rsidRDefault="00861A1C" w:rsidP="00861A1C">
            <w:pPr>
              <w:shd w:val="clear" w:color="auto" w:fill="E6E6E6"/>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tantárgy célja a mesterképzésben részt vevő hallgatók megismertetése a nemzetközi pénzügyi rendszer összefüggéseivel, kitérve az árfolyamrendszerek bemutatására, melynek megértése megkerülhetetlen a mai gazdaságpolitikai és az üzleti döntéshozatalban. Másrészt a tárgy bevezetést nyújt a nemzetközi pénzügyekkel foglalkozó szakirodalomba.</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Azoknak az előírt szakmai kompetenciáknak, kompetencia-elemeknek (tudás, képesség stb., KKK 7. pont) a felsorolása, amelyek kialakításához a tantárgy j</w:t>
            </w:r>
            <w:r w:rsidR="00F76266">
              <w:rPr>
                <w:rFonts w:ascii="Times New Roman" w:eastAsia="Calibri" w:hAnsi="Times New Roman" w:cs="Times New Roman"/>
                <w:b/>
                <w:bCs/>
                <w:sz w:val="20"/>
                <w:szCs w:val="20"/>
                <w:lang w:eastAsia="hu-HU"/>
              </w:rPr>
              <w:t xml:space="preserve">ellemzően, érdemben hozzájárul </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Tudás:</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hallgató képes lesz alapvető nemzetközi pénzügyi összefüggések értelmezésére.</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Nemzetközi, multikulturális környezetben is képes hatékony munkavégzésre.</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Fogékonyság és érdeklődés kialakítása a nemzetközi gazdasági összefüggések értelmezése, logikai összefüggéseinek feltárása iránt. Motiváltság kialakítása a vonatkozó szakirodalom olvasására.</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Nyitott és befogadó a gazdaságtudomány és gyakorlat új eredményei iránt.</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megtanultak alapján a hallgató képes objektív szempontok mentén önálló értékelést, elemzést készíteni, amiért felelősséget vállal.</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Társadalmi és közéleti ügyekben kezdeményező, felelős magatartást tanúsít a munkatársak, beosztottak vonatkozásában.</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F76266" w:rsidRDefault="00861A1C" w:rsidP="00F76266">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w:t>
            </w:r>
            <w:r w:rsidR="00F76266">
              <w:rPr>
                <w:rFonts w:ascii="Times New Roman" w:eastAsia="Calibri" w:hAnsi="Times New Roman" w:cs="Times New Roman"/>
                <w:b/>
                <w:bCs/>
                <w:sz w:val="20"/>
                <w:szCs w:val="20"/>
                <w:lang w:eastAsia="hu-HU"/>
              </w:rPr>
              <w:t>urzus rövid tartalma, témakörei</w:t>
            </w:r>
          </w:p>
          <w:p w:rsidR="00861A1C" w:rsidRPr="00861A1C" w:rsidRDefault="00861A1C" w:rsidP="00F7626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A nemzeti jövedelem elszámolása. Fizetési mérleg és fizetési mérleg elméletek. A devizapiaci egyensúly és a pénzpiaci egyensúly. A vásárlóerő-paritás. A monetáris árfolyammodellek. A nemzetközi pénzügyi rendszer története. Az árfolyamrezsim választásának problémája. Optimális valutaövezetek. Euródeviza és eurókötvény piacok. Nemzetközi gazdaságpolitikai koordináció. A latin-amerikai adósságválság. Valutaválságok és a kelet-ázsiai pénzügyi válság. Pénzügyi innovációk </w:t>
            </w:r>
            <w:r w:rsidR="00F76266">
              <w:rPr>
                <w:rFonts w:ascii="Times New Roman" w:eastAsia="Calibri" w:hAnsi="Times New Roman" w:cs="Times New Roman"/>
                <w:sz w:val="20"/>
                <w:szCs w:val="20"/>
                <w:lang w:eastAsia="hu-HU"/>
              </w:rPr>
              <w:t>és a hitelválság.</w:t>
            </w:r>
          </w:p>
        </w:tc>
      </w:tr>
      <w:tr w:rsidR="00861A1C" w:rsidRPr="00861A1C" w:rsidTr="00F76266">
        <w:trPr>
          <w:trHeight w:val="1145"/>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F7626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elméleti anyagrészben megnevezett struktúrák, modellek állításainak megértése érdekében mind formális, mind grafikus eszközök alkalmazása a logikai összefüggések hangsúlyozásával. A tananyag elmélyítése példákon, számítási feladatokon keresztül, vonatkozó szak</w:t>
            </w:r>
            <w:r w:rsidR="00F76266">
              <w:rPr>
                <w:rFonts w:ascii="Times New Roman" w:eastAsia="Calibri" w:hAnsi="Times New Roman" w:cs="Times New Roman"/>
                <w:sz w:val="20"/>
                <w:szCs w:val="20"/>
                <w:lang w:eastAsia="hu-HU"/>
              </w:rPr>
              <w:t>cikkek feldolgozásán keresztül.</w:t>
            </w: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megszerzett ismeretek számonkérése írásbeli dolgozat formájában történik. A hallgatók évközben plusz százalékért releváns szakirodalmat dolgozhatnak fel, és adhatnak elő.</w:t>
            </w:r>
          </w:p>
        </w:tc>
      </w:tr>
      <w:tr w:rsidR="00861A1C" w:rsidRPr="00861A1C" w:rsidTr="00F76266">
        <w:trPr>
          <w:trHeight w:val="40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mallCaps/>
                <w:sz w:val="20"/>
                <w:szCs w:val="20"/>
                <w:lang w:eastAsia="hu-HU"/>
              </w:rPr>
              <w:t xml:space="preserve">Krugman, P. R. – Obstfeld, M. </w:t>
            </w:r>
            <w:r w:rsidRPr="00861A1C">
              <w:rPr>
                <w:rFonts w:ascii="Times New Roman" w:eastAsia="Calibri" w:hAnsi="Times New Roman" w:cs="Times New Roman"/>
                <w:sz w:val="20"/>
                <w:szCs w:val="20"/>
                <w:lang w:eastAsia="hu-HU"/>
              </w:rPr>
              <w:t>[2003</w:t>
            </w:r>
            <w:r w:rsidRPr="00861A1C">
              <w:rPr>
                <w:rFonts w:ascii="Times New Roman" w:eastAsia="Calibri" w:hAnsi="Times New Roman" w:cs="Times New Roman"/>
                <w:bCs/>
                <w:sz w:val="20"/>
                <w:szCs w:val="20"/>
                <w:lang w:eastAsia="hu-HU"/>
              </w:rPr>
              <w:t>]</w:t>
            </w:r>
            <w:r w:rsidRPr="00861A1C">
              <w:rPr>
                <w:rFonts w:ascii="Times New Roman" w:eastAsia="Calibri" w:hAnsi="Times New Roman" w:cs="Times New Roman"/>
                <w:sz w:val="20"/>
                <w:szCs w:val="20"/>
                <w:lang w:eastAsia="hu-HU"/>
              </w:rPr>
              <w:t>: Nemzetközi gazdaságtan. Elmélet és gazdaságpolitika. Panem Könyvkiadó, Budapest.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mallCaps/>
                <w:color w:val="000000"/>
                <w:sz w:val="20"/>
                <w:szCs w:val="20"/>
                <w:lang w:val="en-GB" w:eastAsia="hu-HU"/>
              </w:rPr>
              <w:t xml:space="preserve">Pilbeam, K. </w:t>
            </w:r>
            <w:r w:rsidRPr="00861A1C">
              <w:rPr>
                <w:rFonts w:ascii="Times New Roman" w:eastAsia="Calibri" w:hAnsi="Times New Roman" w:cs="Times New Roman"/>
                <w:color w:val="000000"/>
                <w:sz w:val="20"/>
                <w:szCs w:val="20"/>
                <w:lang w:val="en-GB" w:eastAsia="hu-HU"/>
              </w:rPr>
              <w:t>[20</w:t>
            </w:r>
            <w:r w:rsidRPr="00861A1C">
              <w:rPr>
                <w:rFonts w:ascii="Times New Roman" w:eastAsia="Calibri" w:hAnsi="Times New Roman" w:cs="Times New Roman"/>
                <w:color w:val="000000"/>
                <w:sz w:val="20"/>
                <w:szCs w:val="20"/>
                <w:lang w:eastAsia="hu-HU"/>
              </w:rPr>
              <w:t>13</w:t>
            </w:r>
            <w:r w:rsidRPr="00861A1C">
              <w:rPr>
                <w:rFonts w:ascii="Times New Roman" w:eastAsia="Calibri" w:hAnsi="Times New Roman" w:cs="Times New Roman"/>
                <w:color w:val="000000"/>
                <w:sz w:val="20"/>
                <w:szCs w:val="20"/>
                <w:lang w:val="en-GB" w:eastAsia="hu-HU"/>
              </w:rPr>
              <w:t xml:space="preserve">]: International Finance, London, </w:t>
            </w:r>
            <w:r w:rsidRPr="00861A1C">
              <w:rPr>
                <w:rFonts w:ascii="Times New Roman" w:eastAsia="Calibri" w:hAnsi="Times New Roman" w:cs="Times New Roman"/>
                <w:sz w:val="20"/>
                <w:szCs w:val="20"/>
                <w:lang w:val="en-GB" w:eastAsia="hu-HU"/>
              </w:rPr>
              <w:t>4th Edition</w:t>
            </w:r>
            <w:r w:rsidRPr="00861A1C">
              <w:rPr>
                <w:rFonts w:ascii="Times New Roman" w:eastAsia="Calibri" w:hAnsi="Times New Roman" w:cs="Times New Roman"/>
                <w:color w:val="000000"/>
                <w:sz w:val="20"/>
                <w:szCs w:val="20"/>
                <w:lang w:val="en-GB" w:eastAsia="hu-HU"/>
              </w:rPr>
              <w:t xml:space="preserve"> Palgrave Macmillan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mallCaps/>
                <w:sz w:val="20"/>
                <w:szCs w:val="20"/>
                <w:lang w:eastAsia="hu-HU"/>
              </w:rPr>
              <w:t>Major Klára – Szabó-Bakos Eszter – Szilágyi Katalin</w:t>
            </w:r>
            <w:r w:rsidRPr="00861A1C">
              <w:rPr>
                <w:rFonts w:ascii="Times New Roman" w:eastAsia="Calibri" w:hAnsi="Times New Roman" w:cs="Times New Roman"/>
                <w:sz w:val="20"/>
                <w:szCs w:val="20"/>
                <w:lang w:eastAsia="hu-HU"/>
              </w:rPr>
              <w:t xml:space="preserve"> [2004</w:t>
            </w:r>
            <w:r w:rsidRPr="00861A1C">
              <w:rPr>
                <w:rFonts w:ascii="Times New Roman" w:eastAsia="Calibri" w:hAnsi="Times New Roman" w:cs="Times New Roman"/>
                <w:bCs/>
                <w:sz w:val="20"/>
                <w:szCs w:val="20"/>
                <w:lang w:eastAsia="hu-HU"/>
              </w:rPr>
              <w:t>]</w:t>
            </w:r>
            <w:r w:rsidRPr="00861A1C">
              <w:rPr>
                <w:rFonts w:ascii="Times New Roman" w:eastAsia="Calibri" w:hAnsi="Times New Roman" w:cs="Times New Roman"/>
                <w:sz w:val="20"/>
                <w:szCs w:val="20"/>
                <w:lang w:eastAsia="hu-HU"/>
              </w:rPr>
              <w:t>: Nemzetközi gazdaságtan feladatgyűjtemény. Panem Könyvkiadó, Budapest (3-4. fejezet)</w:t>
            </w:r>
          </w:p>
          <w:p w:rsidR="00861A1C" w:rsidRPr="00861A1C" w:rsidRDefault="00861A1C" w:rsidP="009F51A1">
            <w:pPr>
              <w:keepNext/>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lastRenderedPageBreak/>
              <w:t>Ajánlott szakirodalom:</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Balassa Béla (</w:t>
            </w:r>
            <w:proofErr w:type="gramStart"/>
            <w:r w:rsidRPr="00861A1C">
              <w:rPr>
                <w:rFonts w:ascii="Times New Roman" w:eastAsia="Calibri" w:hAnsi="Times New Roman" w:cs="Times New Roman"/>
                <w:sz w:val="20"/>
                <w:szCs w:val="20"/>
                <w:lang w:eastAsia="hu-HU"/>
              </w:rPr>
              <w:t>1998[</w:t>
            </w:r>
            <w:proofErr w:type="gramEnd"/>
            <w:r w:rsidRPr="00861A1C">
              <w:rPr>
                <w:rFonts w:ascii="Times New Roman" w:eastAsia="Calibri" w:hAnsi="Times New Roman" w:cs="Times New Roman"/>
                <w:sz w:val="20"/>
                <w:szCs w:val="20"/>
                <w:lang w:eastAsia="hu-HU"/>
              </w:rPr>
              <w:t>1964]): A vásárlóerő-paritás elméletének újraértékelése. In: Darvas Zsolt – Halpern László (szerk.): Árfolyamelmélet. Budapest: Osiris – Láthatatlan Kollégium. 35-65.o.</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Magyar Nemzeti bank (2012): A fizetési mérleg alakulásáról. 2012. III. negyedév. Sajtóközlemény.</w:t>
            </w:r>
          </w:p>
          <w:p w:rsidR="00861A1C" w:rsidRPr="00861A1C" w:rsidRDefault="00780616" w:rsidP="00861A1C">
            <w:pPr>
              <w:spacing w:after="0" w:line="240" w:lineRule="auto"/>
              <w:ind w:left="284"/>
              <w:jc w:val="both"/>
              <w:rPr>
                <w:rFonts w:ascii="Times New Roman" w:eastAsia="Calibri" w:hAnsi="Times New Roman" w:cs="Times New Roman"/>
                <w:color w:val="0000FF"/>
                <w:sz w:val="20"/>
                <w:szCs w:val="20"/>
                <w:u w:val="single"/>
                <w:lang w:eastAsia="hu-HU"/>
              </w:rPr>
            </w:pPr>
            <w:hyperlink r:id="rId9" w:history="1">
              <w:r w:rsidR="00861A1C" w:rsidRPr="00861A1C">
                <w:rPr>
                  <w:rFonts w:ascii="Times New Roman" w:eastAsia="Calibri" w:hAnsi="Times New Roman" w:cs="Times New Roman"/>
                  <w:color w:val="0000FF"/>
                  <w:sz w:val="20"/>
                  <w:szCs w:val="20"/>
                  <w:u w:val="single"/>
                  <w:lang w:eastAsia="hu-HU"/>
                </w:rPr>
                <w:t>http://www.mnb.hu/Root/Dokumentumtar/MNB/Statisztika/mnbhu_statkozlemeny/mnbhu_fizetesi_merleg/SK_FIZM_2012_Q3.pdf</w:t>
              </w:r>
            </w:hyperlink>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Benczes István – Kutasi Gábor (2010): A Gazdasági és Monetáris Unió fiskális szabályrendszere – válság elõtt és után. Európai Tükör, XV. évf., 7-8. sz., 107-127.</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val="en-GB" w:eastAsia="hu-HU"/>
              </w:rPr>
            </w:pPr>
            <w:r w:rsidRPr="00861A1C">
              <w:rPr>
                <w:rFonts w:ascii="Times New Roman" w:eastAsia="Times New Roman" w:hAnsi="Times New Roman" w:cs="Times New Roman"/>
                <w:color w:val="000000"/>
                <w:sz w:val="20"/>
                <w:szCs w:val="20"/>
                <w:lang w:eastAsia="hu-HU"/>
              </w:rPr>
              <w:t xml:space="preserve">Eichengreen, B. (2005): Pénzügyi válságok. Mit tehetünk ellenük? </w:t>
            </w:r>
            <w:r w:rsidRPr="00861A1C">
              <w:rPr>
                <w:rFonts w:ascii="Times New Roman" w:eastAsia="Times New Roman" w:hAnsi="Times New Roman" w:cs="Times New Roman"/>
                <w:color w:val="000000"/>
                <w:sz w:val="20"/>
                <w:szCs w:val="20"/>
                <w:lang w:val="en-GB" w:eastAsia="hu-HU"/>
              </w:rPr>
              <w:t>Budapest: Nemzeti Tankönyvkiadó. 137-178.</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Alesina, A. – Barro, R. J. – Tenreyro, S. [2002]: Optimal Currency Areas. NBER Working Paper 9072.</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Alesina, A. – Barro, R. J. [2002]: Currency Unions. The Quarterly Journal of Economics, Vol. 117 No. 2, 409-436.</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Balassa, B. [1964]: The Purchasing Power Parity Doctrine: a Reappraisal. Journal of Political Economy, Vol. 72, No. 6, pp. 584-596.</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 xml:space="preserve">Bayoumi, T. – Eichengreen, B. [1994]: One money or many? Analysing the prospects for monetary unification in various parts of the world. Princeton Studies in International Finance, No. 76, 1-37. </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 xml:space="preserve">Bayoumi, T. – Eichengreen, B. [1997]: Ever closer to heaven? An optimum-currency-area index for European countries. European Economic Review, Vol. 41, 761-770. </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Bayoumi, T. [1994]: A Formal Model of Optimum Currency Areas, Internatinal Monetary Fund. (IMF Working Paper), Centre for Economic Policy Research (CEPR), No. 94/42, 1-16.</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Boughton, J. M. (2000): From Suez to Tequila: The IMF as Crisis Manager. The Economic Journal 110. 460:273-291</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bCs/>
                <w:sz w:val="20"/>
                <w:szCs w:val="20"/>
                <w:lang w:val="en-GB" w:eastAsia="hu-HU"/>
              </w:rPr>
            </w:pPr>
            <w:r w:rsidRPr="00861A1C">
              <w:rPr>
                <w:rFonts w:ascii="Times New Roman" w:eastAsia="Calibri" w:hAnsi="Times New Roman" w:cs="Times New Roman"/>
                <w:bCs/>
                <w:sz w:val="20"/>
                <w:szCs w:val="20"/>
                <w:lang w:val="en-GB" w:eastAsia="hu-HU"/>
              </w:rPr>
              <w:t xml:space="preserve">Calvo, G. A. – Mishkin, F. S. [2003]: The Mirage of Exchange Rate Regimes for Emerging Market Countries. </w:t>
            </w:r>
            <w:r w:rsidRPr="00861A1C">
              <w:rPr>
                <w:rFonts w:ascii="Times New Roman" w:eastAsia="Calibri" w:hAnsi="Times New Roman" w:cs="Times New Roman"/>
                <w:iCs/>
                <w:sz w:val="20"/>
                <w:szCs w:val="20"/>
                <w:lang w:val="en-GB" w:eastAsia="hu-HU"/>
              </w:rPr>
              <w:t>Journal of Economic Perspectives</w:t>
            </w:r>
            <w:r w:rsidRPr="00861A1C">
              <w:rPr>
                <w:rFonts w:ascii="Times New Roman" w:eastAsia="Calibri" w:hAnsi="Times New Roman" w:cs="Times New Roman"/>
                <w:sz w:val="20"/>
                <w:szCs w:val="20"/>
                <w:lang w:val="en-GB" w:eastAsia="hu-HU"/>
              </w:rPr>
              <w:t xml:space="preserve"> 17.4:99-118</w:t>
            </w:r>
            <w:r w:rsidRPr="00861A1C">
              <w:rPr>
                <w:rFonts w:ascii="Times New Roman" w:eastAsia="Calibri" w:hAnsi="Times New Roman" w:cs="Times New Roman"/>
                <w:bCs/>
                <w:sz w:val="20"/>
                <w:szCs w:val="20"/>
                <w:lang w:val="en-GB" w:eastAsia="hu-HU"/>
              </w:rPr>
              <w:t>.</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Darvas Zsolt – Szapáry György [2008]: Euro Area Enlargement and Euro Adoption Strategies, Corvinus University of Budapest, Department of Mathematical Economics and Economic Analysis, Working Paper, 1-85.</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Darvas Zsolt [2012]: Euro crisis: ten roots, but fewer solutions. Bruegel Policy Contribution, No. 2012/17, pp. 1-14.</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Easterly, W. – Pfutze, Th. [2008]: Where Does the Money Go? Best and Worst Practices in Foreign Aid. Journal of Economic Perspectives 22.2:29-52.</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 xml:space="preserve">Eichengreen, b. [1990]: Is Europe an Optimum Currency Area? CEPR Discussion Papers, No. 478, 1-28. </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Eichengreen, B. [1992]: Should the Maastricht treaty be saved? Princeton Studies in International Finance, No. 74, International Finance Section, Princeton University.</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Égert, B. – Drine, I. – Lommatzsch, K. – Rault, C. [2003]: The Balassa–Samuelson effect in Central and Eastern Europe: myth or reality? Journal of Comparative Economics, Vol. 31, No. 3, pp. 552–572.</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Frankel, J. A. [1979]: On the mark: a theory of floating exchange rates based on real interest rate differentials. The American Economic Review, Vol. 69, No. 4, pp. 610-622.</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 xml:space="preserve">Frankel, J. A. – Rose, A. K. [1998]: The Endogeneity of the Optimum Currency Area Criteria. The Economic Journal, Vol. 108 No. 449, 1009-1025. </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Frankel, J. A. – Rose, A. K. [2002]: An Estimate of the Effect of Common Currencies on Trade and Income. The Quarterly Journal of Economics, Vol. 117 No. 2, 437-466.</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Goldberg, L. S. [1999]: Is Optimum Currency Area Theory Irrelevant for Economies in Transition? Federal Reserve Bank of New York and NBER, Research Department, Westview Press, 45-60.</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 xml:space="preserve">Grubel, H. G. [1970]: The Theory of Optimum Currency Areas. The Canadian Journal of Economics, Vol. 3 No. 2, május, 318-324. </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 xml:space="preserve">Horvath, J. [2003]: Optimal Currency Area Theory: A Selective Review. BOFIT Discussion Papers, No. 15, 1-38. </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861A1C">
              <w:rPr>
                <w:rFonts w:ascii="Times New Roman" w:eastAsia="Calibri" w:hAnsi="Times New Roman" w:cs="Times New Roman"/>
                <w:color w:val="000000"/>
                <w:sz w:val="20"/>
                <w:szCs w:val="20"/>
                <w:lang w:val="en-GB" w:eastAsia="hu-HU"/>
              </w:rPr>
              <w:t>Kenen, P. [1969]: The theory of optimum currency areas: an eclectic view. In: (R. Mundell and A. Swoboda, eds.), Monetary Problems in the International Economy, Chicago: University of Chicago Press.</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color w:val="000000"/>
                <w:sz w:val="20"/>
                <w:szCs w:val="20"/>
                <w:lang w:val="en-GB" w:eastAsia="hu-HU"/>
              </w:rPr>
              <w:t>Krishnamurthy, A. [2010]</w:t>
            </w:r>
            <w:r w:rsidRPr="00861A1C">
              <w:rPr>
                <w:rFonts w:ascii="Times New Roman" w:eastAsia="Calibri" w:hAnsi="Times New Roman" w:cs="Times New Roman"/>
                <w:sz w:val="20"/>
                <w:szCs w:val="20"/>
                <w:lang w:val="en-GB" w:eastAsia="hu-HU"/>
              </w:rPr>
              <w:t xml:space="preserve">: </w:t>
            </w:r>
            <w:r w:rsidRPr="00861A1C">
              <w:rPr>
                <w:rFonts w:ascii="Times New Roman" w:eastAsia="Calibri" w:hAnsi="Times New Roman" w:cs="Times New Roman"/>
                <w:bCs/>
                <w:color w:val="000000"/>
                <w:sz w:val="20"/>
                <w:szCs w:val="20"/>
                <w:lang w:val="en-GB" w:eastAsia="hu-HU"/>
              </w:rPr>
              <w:t>How Debt Markets Have Malfunctioned</w:t>
            </w:r>
            <w:r w:rsidRPr="00861A1C">
              <w:rPr>
                <w:rFonts w:ascii="Times New Roman" w:eastAsia="Calibri" w:hAnsi="Times New Roman" w:cs="Times New Roman"/>
                <w:sz w:val="20"/>
                <w:szCs w:val="20"/>
                <w:lang w:val="en-GB" w:eastAsia="hu-HU"/>
              </w:rPr>
              <w:t xml:space="preserve"> </w:t>
            </w:r>
            <w:r w:rsidRPr="00861A1C">
              <w:rPr>
                <w:rFonts w:ascii="Times New Roman" w:eastAsia="Calibri" w:hAnsi="Times New Roman" w:cs="Times New Roman"/>
                <w:bCs/>
                <w:color w:val="000000"/>
                <w:sz w:val="20"/>
                <w:szCs w:val="20"/>
                <w:lang w:val="en-GB" w:eastAsia="hu-HU"/>
              </w:rPr>
              <w:t xml:space="preserve">in the Crisis. </w:t>
            </w:r>
            <w:r w:rsidRPr="00861A1C">
              <w:rPr>
                <w:rFonts w:ascii="Times New Roman" w:eastAsia="Calibri" w:hAnsi="Times New Roman" w:cs="Times New Roman"/>
                <w:iCs/>
                <w:sz w:val="20"/>
                <w:szCs w:val="20"/>
                <w:lang w:val="en-GB" w:eastAsia="hu-HU"/>
              </w:rPr>
              <w:t>Journal of Economic Perspectives 24.1:3–28.</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Meese, R. A. − Rogoff, K. S. [1983]: Empirical Exchange Rate Models of the Seventies: Do They Fit Out of Sample? Journal of International Economics, Vol. 14, No. 1-2, pp. 3-24.</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McKinnon, R. I. [1963]: Optimum Currency Areas. The American Economic Review, Vol. 53, 717-725.</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Mundell, R. [1961]: A Theory of Optimum Currency Areas. The American Economic Review, 51. 657-664.</w:t>
            </w:r>
          </w:p>
          <w:p w:rsidR="00861A1C" w:rsidRPr="00861A1C" w:rsidRDefault="00861A1C" w:rsidP="00861A1C">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 xml:space="preserve">Obstfeld, M. – Rogoff, K. [2009]: Global Imbalances and the Financial Crisis: Products of Common Causes. </w:t>
            </w:r>
            <w:r w:rsidRPr="00861A1C">
              <w:rPr>
                <w:rFonts w:ascii="Times New Roman" w:eastAsia="Calibri" w:hAnsi="Times New Roman" w:cs="Times New Roman"/>
                <w:iCs/>
                <w:sz w:val="20"/>
                <w:szCs w:val="20"/>
                <w:lang w:val="en-GB" w:eastAsia="hu-HU"/>
              </w:rPr>
              <w:t>Asia Economic Policy Conference</w:t>
            </w:r>
            <w:r w:rsidRPr="00861A1C">
              <w:rPr>
                <w:rFonts w:ascii="Times New Roman" w:eastAsia="Calibri" w:hAnsi="Times New Roman" w:cs="Times New Roman"/>
                <w:sz w:val="20"/>
                <w:szCs w:val="20"/>
                <w:lang w:val="en-GB" w:eastAsia="hu-HU"/>
              </w:rPr>
              <w:t>, University of California, Berkeley.</w:t>
            </w:r>
          </w:p>
          <w:p w:rsidR="00861A1C" w:rsidRPr="00861A1C" w:rsidRDefault="00780616" w:rsidP="00861A1C">
            <w:pPr>
              <w:spacing w:after="0" w:line="240" w:lineRule="auto"/>
              <w:ind w:left="284"/>
              <w:jc w:val="both"/>
              <w:rPr>
                <w:rFonts w:ascii="Times New Roman" w:eastAsia="Calibri" w:hAnsi="Times New Roman" w:cs="Times New Roman"/>
                <w:sz w:val="20"/>
                <w:szCs w:val="20"/>
                <w:lang w:val="en-GB" w:eastAsia="hu-HU"/>
              </w:rPr>
            </w:pPr>
            <w:hyperlink r:id="rId10" w:history="1">
              <w:r w:rsidR="00861A1C" w:rsidRPr="00861A1C">
                <w:rPr>
                  <w:rFonts w:ascii="Times New Roman" w:eastAsia="Calibri" w:hAnsi="Times New Roman" w:cs="Times New Roman"/>
                  <w:color w:val="0000FF"/>
                  <w:sz w:val="20"/>
                  <w:szCs w:val="20"/>
                  <w:u w:val="single"/>
                  <w:lang w:val="en-GB" w:eastAsia="hu-HU"/>
                </w:rPr>
                <w:t>http://elsa.berkeley.edu/~obstfeld/globalimbalances2010.pdf</w:t>
              </w:r>
            </w:hyperlink>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Ricci, L. A. [2008]: A Model of an Optimum Currency Area. Economics Discussion Papers, No. 2007-45</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861A1C">
              <w:rPr>
                <w:rFonts w:ascii="Times New Roman" w:eastAsia="Calibri" w:hAnsi="Times New Roman" w:cs="Times New Roman"/>
                <w:sz w:val="20"/>
                <w:szCs w:val="20"/>
                <w:lang w:val="en-GB" w:eastAsia="hu-HU"/>
              </w:rPr>
              <w:t>Rodrik, D. [2006]: Goodbye Washington Consensus, Hello Washington Confusion? A Review of the World Bank's"Economic Growth in the 1990s: Learning from a Decade of Reform. Journal of Economic Literature 44. 4: 973-987</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Rogoff, K. [1996]: The Purchasing Power Parity Puzzle. Journal of Economic Literature, Vol. 34, No. 2, pp. 647-668.</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Rose, A. K. [2004]: A Meta-Analysis of the Effect of Common Currencies on International Trade. NBER Working Paper, No. 10373, március, </w:t>
            </w:r>
            <w:proofErr w:type="gramStart"/>
            <w:r w:rsidRPr="00861A1C">
              <w:rPr>
                <w:rFonts w:ascii="Times New Roman" w:eastAsia="Calibri" w:hAnsi="Times New Roman" w:cs="Times New Roman"/>
                <w:sz w:val="20"/>
                <w:szCs w:val="20"/>
                <w:lang w:eastAsia="hu-HU"/>
              </w:rPr>
              <w:t>JEL</w:t>
            </w:r>
            <w:proofErr w:type="gramEnd"/>
            <w:r w:rsidRPr="00861A1C">
              <w:rPr>
                <w:rFonts w:ascii="Times New Roman" w:eastAsia="Calibri" w:hAnsi="Times New Roman" w:cs="Times New Roman"/>
                <w:sz w:val="20"/>
                <w:szCs w:val="20"/>
                <w:lang w:eastAsia="hu-HU"/>
              </w:rPr>
              <w:t xml:space="preserve"> No. f34, 1-24.</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Samuelson, P. A. [1964]: Theoretical Notes on Trade Problems. Review of Economics and Statistics, Vol. 46, No. 2, pp.145-154.</w:t>
            </w:r>
          </w:p>
          <w:p w:rsidR="00861A1C" w:rsidRPr="00861A1C" w:rsidRDefault="00861A1C" w:rsidP="00861A1C">
            <w:pPr>
              <w:shd w:val="clear" w:color="auto" w:fill="E6E6E6"/>
              <w:spacing w:after="0" w:line="240" w:lineRule="auto"/>
              <w:ind w:left="284" w:hanging="284"/>
              <w:jc w:val="both"/>
              <w:rPr>
                <w:rFonts w:ascii="Times New Roman" w:eastAsia="Calibri" w:hAnsi="Times New Roman" w:cs="Times New Roman"/>
                <w:iCs/>
                <w:sz w:val="20"/>
                <w:szCs w:val="20"/>
                <w:lang w:eastAsia="hu-HU"/>
              </w:rPr>
            </w:pPr>
            <w:r w:rsidRPr="00861A1C">
              <w:rPr>
                <w:rFonts w:ascii="Times New Roman" w:eastAsia="Calibri" w:hAnsi="Times New Roman" w:cs="Times New Roman"/>
                <w:sz w:val="20"/>
                <w:szCs w:val="20"/>
                <w:lang w:eastAsia="hu-HU"/>
              </w:rPr>
              <w:t xml:space="preserve">Taylor, A. – Taylor, M. P. [2004]: </w:t>
            </w:r>
            <w:r w:rsidRPr="00861A1C">
              <w:rPr>
                <w:rFonts w:ascii="Times New Roman" w:eastAsia="Calibri" w:hAnsi="Times New Roman" w:cs="Times New Roman"/>
                <w:bCs/>
                <w:sz w:val="20"/>
                <w:szCs w:val="20"/>
                <w:lang w:eastAsia="hu-HU"/>
              </w:rPr>
              <w:t xml:space="preserve">The Purchasing Power Parity Debate. </w:t>
            </w:r>
            <w:r w:rsidRPr="00861A1C">
              <w:rPr>
                <w:rFonts w:ascii="Times New Roman" w:eastAsia="Calibri" w:hAnsi="Times New Roman" w:cs="Times New Roman"/>
                <w:iCs/>
                <w:sz w:val="20"/>
                <w:szCs w:val="20"/>
                <w:lang w:eastAsia="hu-HU"/>
              </w:rPr>
              <w:t>Journal of Economic Perspectives, 18.4: 135–158.</w:t>
            </w:r>
          </w:p>
          <w:p w:rsidR="00861A1C" w:rsidRPr="00861A1C" w:rsidRDefault="00861A1C" w:rsidP="00F76266">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eastAsia="hu-HU"/>
              </w:rPr>
            </w:pPr>
            <w:r w:rsidRPr="00861A1C">
              <w:rPr>
                <w:rFonts w:ascii="Times New Roman" w:eastAsia="Calibri" w:hAnsi="Times New Roman" w:cs="Times New Roman"/>
                <w:color w:val="000000"/>
                <w:sz w:val="20"/>
                <w:szCs w:val="20"/>
                <w:lang w:val="en-GB" w:eastAsia="hu-HU"/>
              </w:rPr>
              <w:t xml:space="preserve">White, L. [2011]: The Credit Rating Agencies. </w:t>
            </w:r>
            <w:r w:rsidRPr="00861A1C">
              <w:rPr>
                <w:rFonts w:ascii="Times New Roman" w:eastAsia="Calibri" w:hAnsi="Times New Roman" w:cs="Times New Roman"/>
                <w:iCs/>
                <w:sz w:val="20"/>
                <w:szCs w:val="20"/>
                <w:lang w:val="en-GB" w:eastAsia="hu-HU"/>
              </w:rPr>
              <w:t>Journal of Economic Perspectives 24.2:211-226.</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p w:rsidR="00861A1C" w:rsidRDefault="00861A1C" w:rsidP="00861A1C">
      <w:pPr>
        <w:spacing w:after="0" w:line="240" w:lineRule="auto"/>
        <w:rPr>
          <w:rFonts w:ascii="Times New Roman" w:eastAsia="Calibri" w:hAnsi="Times New Roman" w:cs="Times New Roman"/>
          <w:sz w:val="20"/>
          <w:szCs w:val="20"/>
          <w:lang w:eastAsia="hu-HU"/>
        </w:rPr>
      </w:pPr>
    </w:p>
    <w:p w:rsidR="00F76266" w:rsidRPr="00861A1C" w:rsidRDefault="00F76266"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1A1C" w:rsidRPr="00861A1C" w:rsidTr="00C53713">
        <w:tc>
          <w:tcPr>
            <w:tcW w:w="9250"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nemzeti jövedelem elszámolása</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nemzeti jövedelmi számlák rendszerét, a fizetési mérleg struktúráját, s képes események rögzítésére a fizetési mérleg struktúrában.</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fizetési mérleg és a fizetési mérleg elméletek</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képes értelmezni, hogy az árfolyamváltozás hogyan befolyásolja egy ország folyó fizetési mérleg pozícióját a fizetési mérleg rugalmassági és abszorpciós megközelítésén keresztül.</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devizapiaci egyensúly és a pénzpiaci egyensúly</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modellszemléletben tudja értelmezni a devizapiaci egyensúlyt és annak kialakulását. Az elsajátított modellek: fedezetlen, fedezett és reálkamatparitás.</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hallgató modellszemléletben tudja értelmezni a pénzpiaci egyensúlyt és annak kialakulását.</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vásárlóerő-paritás</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képes lesz megérteni az egyik legfontosabb hosszú távú egyensúlyi árfolyammodell állításait, és annak korlátait. Tisztában lesz a vásárlóerő-paritás empirikus kudarcának egyik legnépszerűbb magyarázatával: a (Harrod) – Balassa – Samuelson modellel.</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monetáris árfolyammodellek</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nominális árfolyamok hosszú távú viselkedésének egy másik modellcsaládját: a monetáris árfolyammodelleket. (rugalmas árak monetáris modellje, Dornbusch modell, reálkamat-különbségek modellje, összegzés)</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nemzetközi pénzügyi rendszer története 1.</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nemzetközi pénzügyi rendszer története 2.</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árfolyamrezsim választásának problémája: fix versus lebegő árfolyamok</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Képes érveket és ellenérveket megfogalmazni mindkét árfolyamrezsim esetén.</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Optimális valutaövezetek (OCA)</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Megismeri az optimális valutaövezetek modelljének kialakulását, annak kritériumrendszerét. A modell kritériumrendszere alapján képes önálló értékelést megfogalmazni már létrejött (vagy akár tervezett) valutaövezetek tekintetében.</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Euródeviza és eurókötvény piacok</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az euródeviza és az eurókötvény piacok résztvevőit, eredetét, fejlődését, jellemzőit.</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Nemzetközi gazdaságpolitikai koordináció</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tisztában lesz a nemzetközi pénzügyi koordináció fogalmával, előnyeivel, hátrányaival, akadályaival, játékelméleti megközelítésével.</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latin-amerikai adósságválság</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az adósságválság hátterét, eredetét, közgazdasági értelmezését, annak értékelését gazdasági szempontok mentén.</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Valutaválságok és a kelet-ázsiai pénzügyi válság</w:t>
            </w:r>
          </w:p>
        </w:tc>
      </w:tr>
      <w:tr w:rsidR="00861A1C" w:rsidRPr="00861A1C" w:rsidTr="00C53713">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valutaválság modelleket, a kelet-ázsiai pénzügyi válság okait, közgazdasági értelmezését.</w:t>
            </w:r>
          </w:p>
        </w:tc>
      </w:tr>
      <w:tr w:rsidR="00861A1C" w:rsidRPr="00861A1C" w:rsidTr="00C53713">
        <w:tc>
          <w:tcPr>
            <w:tcW w:w="1529" w:type="dxa"/>
            <w:vMerge w:val="restart"/>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Pénzügyi innovációk és a hitelválság</w:t>
            </w:r>
          </w:p>
        </w:tc>
      </w:tr>
      <w:tr w:rsidR="00861A1C" w:rsidRPr="00861A1C" w:rsidTr="00C53713">
        <w:trPr>
          <w:trHeight w:val="70"/>
        </w:trPr>
        <w:tc>
          <w:tcPr>
            <w:tcW w:w="1529" w:type="dxa"/>
            <w:vMerge/>
            <w:shd w:val="clear" w:color="auto" w:fill="auto"/>
          </w:tcPr>
          <w:p w:rsidR="00861A1C" w:rsidRPr="00861A1C" w:rsidRDefault="00861A1C" w:rsidP="00861A1C">
            <w:pPr>
              <w:numPr>
                <w:ilvl w:val="0"/>
                <w:numId w:val="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 néhány tipikus pénzügyi innovációt (CDO, CDS), a hitelválság okait és következményeit.</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16"/>
                <w:lang w:eastAsia="hu-HU"/>
              </w:rPr>
            </w:pPr>
            <w:r w:rsidRPr="00861A1C">
              <w:rPr>
                <w:rFonts w:ascii="Times New Roman" w:eastAsia="Arial Unicode MS" w:hAnsi="Times New Roman" w:cs="Times New Roman"/>
                <w:b/>
                <w:sz w:val="20"/>
                <w:szCs w:val="16"/>
                <w:lang w:eastAsia="hu-HU"/>
              </w:rPr>
              <w:t>Nemzetközi politikai gazdaságtan</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16"/>
                <w:szCs w:val="16"/>
                <w:lang w:eastAsia="hu-HU"/>
              </w:rPr>
            </w:pPr>
            <w:r w:rsidRPr="00861A1C">
              <w:rPr>
                <w:rFonts w:ascii="Times New Roman" w:eastAsia="Calibri" w:hAnsi="Times New Roman" w:cs="Times New Roman"/>
                <w:sz w:val="20"/>
                <w:szCs w:val="20"/>
                <w:lang w:eastAsia="hu-HU"/>
              </w:rPr>
              <w:t>Kódja</w:t>
            </w:r>
            <w:r w:rsidRPr="00861A1C">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Arial Unicode MS" w:hAnsi="Times New Roman" w:cs="Times New Roman"/>
                <w:b/>
                <w:sz w:val="20"/>
                <w:szCs w:val="20"/>
                <w:lang w:eastAsia="hu-HU"/>
              </w:rPr>
              <w:t>GT_MNGN011-17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International political economy</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16"/>
                <w:szCs w:val="16"/>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bCs/>
                <w:sz w:val="24"/>
                <w:szCs w:val="24"/>
                <w:lang w:eastAsia="hu-HU"/>
              </w:rPr>
            </w:pPr>
            <w:r w:rsidRPr="00861A1C">
              <w:rPr>
                <w:rFonts w:ascii="Times New Roman" w:eastAsia="Calibri" w:hAnsi="Times New Roman" w:cs="Times New Roman"/>
                <w:b/>
                <w:bCs/>
                <w:sz w:val="24"/>
                <w:szCs w:val="24"/>
                <w:lang w:eastAsia="hu-HU"/>
              </w:rPr>
              <w:t>Nemzetközi gazdaság és gazdálkodás mesterképzési szak (2. évf.)</w:t>
            </w: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Világgazdasági és Nemzetközi Kapcsolatok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i/>
                <w:sz w:val="20"/>
                <w:szCs w:val="20"/>
                <w:lang w:eastAsia="hu-HU"/>
              </w:rPr>
            </w:pP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16"/>
                <w:szCs w:val="16"/>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r w:rsidRPr="00861A1C">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r w:rsidRPr="00861A1C">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16"/>
                <w:szCs w:val="16"/>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18"/>
                <w:szCs w:val="18"/>
                <w:lang w:eastAsia="hu-HU"/>
              </w:rPr>
            </w:pPr>
            <w:r w:rsidRPr="00861A1C">
              <w:rPr>
                <w:rFonts w:ascii="Times New Roman" w:eastAsia="Calibri" w:hAnsi="Times New Roman" w:cs="Times New Roman"/>
                <w:b/>
                <w:sz w:val="18"/>
                <w:szCs w:val="18"/>
                <w:lang w:eastAsia="hu-HU"/>
              </w:rPr>
              <w:t>Szentesiné Dr. Sigér Fruzsina</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adjunktus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kurzus célja, hogy megismertesse a hallgatókkal a nemzetközi politikai gazdaságtan megközelítéseit és bemutassa néhány érdekes területét. A makroökonómia, a világgazdaságtan és a közösségi döntések határterületeként a kurzus keretében a legfontosabb nemzetközi intézmények és politikák megismerésére kerül sor. Megpróbálja integrálni a nemzetközi gazdaság- és politikaelméletet egyfelől, illetve komoly érzékenységet tanúsít a nemzetközi gazdaság színterén zajló valós események, történések iránt.</w:t>
            </w: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Elsajátította a gazdaságtudomány, illetve a gazdaság mikro és makro szerveződési szintjeinek fogalmait, elméleteit, folyamatait és jellemzőit, ismeri a meghatározó gazdasági tényeket.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Nemzetközi, multikulturális környezetben is képes hatékony munkavégzésre.</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Nyitott és befogadó a gazdaságtudomány és gyakorlat új eredményei iránt.</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9F51A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Globalizáció; A piac és az állam feladatainak történelmi áttekintése; A szabad kereskedelem koncepciójának és feltételeinek kritikai vizsgálata; Pénzügyi globalizáció; Fejlesztéspolitika; Pénzügyi válságok; A globális kormányzás koncepciója;</w:t>
            </w:r>
          </w:p>
        </w:tc>
      </w:tr>
      <w:tr w:rsidR="00861A1C" w:rsidRPr="00861A1C" w:rsidTr="00C537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lastRenderedPageBreak/>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A tantermi előadásokat az oktató tartja.</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Szeminárium (részvétel maximum 3 hiányzással): az előadás anyagához kapcsolódó cikkek, írások kritikai jellegű megvitatása, kiselőadás tartása egyénileg vagy csoportosan.</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Az aláírás megszerzésének feltétele az aktív szemináriumi részvétel mellett kiselőadás tartása.</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 Az előadások látogatása nem kötelező, de ajánlott. </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Az évközi követelmény pótlására nincs lehetőség, aki nem vállal kiselőadást, nem teljesíti a szeminárium követelményeit és nem bocsátható vizsgára.</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A szemináriumi munka értékelése: 25% kiselőadás, 25% órai munka, összesen 50%.</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 A félév vizsgával zárul, ahol szintén 50% szerezhető. </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A végső értékelés a következő: 0-57% elégtelen (1), 58-68% elégséges (2), 69-78% közepes (3), 79-89% jó (4), 90-100% jeles (5)</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Ismételt vizsga esetén sem vesznek el az évközi pontok.</w:t>
            </w:r>
          </w:p>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9F51A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Dani Rodrik: A globalizáció paradoxona: demokrácia és a világgazdaság jövője. Budapest: Corvina, 2014</w:t>
            </w: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Rodrik D, Mukand S. (2020): The Political Economy of Liberal Democracy. The Economic Journal. Copy at https://j.mp/2oSx0v3</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Oatley, Thomas (2010): International Political Economy. Pearson, New York</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Gilpin, Robert (2004): Nemzetközi politikai gazdaságtan. BUCIPE, Budapest</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Csaba László (2016): Economic systems: constraints and driving forces. in: Hámori Balázs - Rosta Miklós (szerk.): Constraints and Driving Forces in Economic Systems. Newcastle-upon-Tyne: Cambridge Scholars Publishing</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Kornai János (2016): The system paradigm revisited: Clarifications and additions in the light of experiences in the post-socialist region. Acta Oeconomica, vol.66, no.4, pp547-596.</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Farkas Beáta (2016): Models of Capitalism in the EU: Post-Crisis Perspectives. Houndmills-New York: Palgrave MacMillan</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Rodrik, Dani (2015): Economics Rules: Why Economics Works, When It Fails and How to Tell the Difference. Oxford- New York: Oxford University Press</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854"/>
      </w:tblGrid>
      <w:tr w:rsidR="00861A1C" w:rsidRPr="00861A1C" w:rsidTr="00861A1C">
        <w:tc>
          <w:tcPr>
            <w:tcW w:w="9024"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8"/>
                <w:szCs w:val="28"/>
                <w:lang w:eastAsia="hu-HU"/>
              </w:rPr>
            </w:pPr>
            <w:r w:rsidRPr="00861A1C">
              <w:rPr>
                <w:rFonts w:ascii="Times New Roman" w:eastAsia="Calibri" w:hAnsi="Times New Roman" w:cs="Times New Roman"/>
                <w:sz w:val="28"/>
                <w:szCs w:val="28"/>
                <w:lang w:eastAsia="hu-HU"/>
              </w:rPr>
              <w:t>Heti bontott tematika</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politikai gazdaságtan természete</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TE: A hallgató megismeri a politikai gazdaságtan alapvető ismérveit és konkrét eseteken keresztül betekintést nyer a politikai gazdaságtan különböző megközelítéseibe. </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Globalizáció</w:t>
            </w:r>
          </w:p>
        </w:tc>
      </w:tr>
      <w:tr w:rsidR="00861A1C" w:rsidRPr="00861A1C" w:rsidTr="00861A1C">
        <w:tc>
          <w:tcPr>
            <w:tcW w:w="1170" w:type="dxa"/>
            <w:vMerge/>
            <w:shd w:val="clear" w:color="auto" w:fill="auto"/>
          </w:tcPr>
          <w:p w:rsidR="00861A1C" w:rsidRPr="00861A1C" w:rsidRDefault="00861A1C" w:rsidP="00861A1C">
            <w:pPr>
              <w:spacing w:after="0" w:line="240" w:lineRule="auto"/>
              <w:ind w:left="360"/>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globalizáció történelmi kialakulását, és konkrét eseteken keresztül betekintést nyer a működésébe. Az esetet feldolgozó hallgató kritikai gondolkodást gyakorol és előadókészsége javul.</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piac és az állam feladatainak történelmi áttekintése</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piac és az állam feladatainak történelem során lezajlott változásait, és konkrét eseteken keresztül betekintést nyer a működésükbe.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szabad kereskedelem koncepciójának kritikai vizsgálata</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átismétli a ricardói komparatív előnyök elméletét, megismeri az elmélet kialakulásának történelmi körülményeit és részletesen megismeri a modell feltételeit.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Globalizáció és jövedelemkülönbségek, Bretton Woods, WTO</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nemzetközi pénzügyi rendszerre vonatkozó különböző nézeteket, és konkrét eseteken keresztül betekintést nyer a rendszer WTO előtti és utáni működésébe.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pénzügyi globalizáció és a tőkepiaci liberalizáció vizsgálata</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pénzügyi válságokkal kapcsolatos különböző gazdasági és politikatudományi nézeteket, és konkrét eseteken keresztül betekintést nyer a rendszer konkrét működésébe.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pénzügyi-gazdasági gondolkodás tipikus jellemzői</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több híres közgazdászok gondolkodásmódját, és a 2008-as pénzügyi válságot megelőző pénzügyi innovációkat.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Szegény országok a gazdag világban és a délkelet-ázsiai válság</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az szegény országok gazdasági fejlődésének egyes részleteit és betekintést nyer a délkelet-ázsiai pénzügyi válságot kiváltó okokról folyó vitába.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Fejlesztési javaslatok és a Washingtoni konszenzus</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fejlesztéspolitika 1980 előtti megközelítéseit és a Washingtoni konszenzus kialakulásának és alkalmazásnak körülményeit. Az esetet feldolgozó hallgató kritikai gondolkodást gyakorol,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globalizáció, a nemzetállam és a demokrácia összefüggései</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globalizáció, a nemzetállam és a demokrácia összefüggéseinek részleteit, és konkrét eseteken keresztül betekintést nyer a fenti három fogalom összeegyeztethetetlenségének eseteibe, így pl. a különböző munkaügyi, környezetvédelmi és egészségügyi normák eltérő megjelenéseibe.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tabs>
                <w:tab w:val="left" w:pos="5585"/>
              </w:tabs>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Globális kormányzás</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globális kormányzás koncepcióját, és konkrét forrásokon keresztül betekintést nyer az eltérő megközelítésekbe.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kapitalizmus megreformálásának lehetőségei</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tabs>
                <w:tab w:val="left" w:pos="1230"/>
              </w:tabs>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 megismeri a kapitalizmus verzióit, a különböző reformkoncepciókat, és konkrét eseteken keresztül betekintést nyer azok működésébe. Az esetet feldolgozó hallgató kritikai gondolkodást gyakorol és előadókészsége javul, a vitában résztvevő többi hallgató kognitív készségei fejlődnek.</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Az „értelmes” globalizáció</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TE: A hallgató megismeri Rodrik elképzelésének részleteit. </w:t>
            </w:r>
          </w:p>
        </w:tc>
      </w:tr>
      <w:tr w:rsidR="00861A1C" w:rsidRPr="00861A1C" w:rsidTr="00861A1C">
        <w:tc>
          <w:tcPr>
            <w:tcW w:w="1170" w:type="dxa"/>
            <w:vMerge w:val="restart"/>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Összefoglalás</w:t>
            </w:r>
          </w:p>
        </w:tc>
      </w:tr>
      <w:tr w:rsidR="00861A1C" w:rsidRPr="00861A1C" w:rsidTr="00861A1C">
        <w:tc>
          <w:tcPr>
            <w:tcW w:w="1170" w:type="dxa"/>
            <w:vMerge/>
            <w:shd w:val="clear" w:color="auto" w:fill="auto"/>
          </w:tcPr>
          <w:p w:rsidR="00861A1C" w:rsidRPr="00861A1C" w:rsidRDefault="00861A1C" w:rsidP="00861A1C">
            <w:pPr>
              <w:numPr>
                <w:ilvl w:val="0"/>
                <w:numId w:val="5"/>
              </w:numPr>
              <w:spacing w:after="0" w:line="240" w:lineRule="auto"/>
              <w:rPr>
                <w:rFonts w:ascii="Times New Roman" w:eastAsia="Calibri" w:hAnsi="Times New Roman" w:cs="Times New Roman"/>
                <w:sz w:val="20"/>
                <w:szCs w:val="20"/>
                <w:lang w:eastAsia="hu-HU"/>
              </w:rPr>
            </w:pPr>
          </w:p>
        </w:tc>
        <w:tc>
          <w:tcPr>
            <w:tcW w:w="7854" w:type="dxa"/>
            <w:shd w:val="clear" w:color="auto" w:fill="auto"/>
          </w:tcPr>
          <w:p w:rsidR="00861A1C" w:rsidRPr="00861A1C" w:rsidRDefault="00861A1C" w:rsidP="00861A1C">
            <w:pPr>
              <w:tabs>
                <w:tab w:val="left" w:pos="1440"/>
              </w:tabs>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 hallgatók összefüggésében látnak egy nemzetközi politikai gazdaságtani megközelítést.</w:t>
            </w:r>
          </w:p>
        </w:tc>
      </w:tr>
    </w:tbl>
    <w:p w:rsidR="00861A1C" w:rsidRPr="00861A1C" w:rsidRDefault="00861A1C" w:rsidP="00861A1C">
      <w:pPr>
        <w:spacing w:after="0" w:line="240" w:lineRule="auto"/>
        <w:rPr>
          <w:rFonts w:ascii="Times New Roman" w:eastAsia="Arial Unicode MS" w:hAnsi="Times New Roman" w:cs="Times New Roman"/>
          <w:b/>
          <w:sz w:val="20"/>
          <w:szCs w:val="16"/>
          <w:lang w:eastAsia="hu-HU"/>
        </w:rPr>
      </w:pPr>
    </w:p>
    <w:p w:rsidR="00861A1C" w:rsidRDefault="00861A1C">
      <w:pPr>
        <w:rPr>
          <w:rFonts w:ascii="Times New Roman" w:hAnsi="Times New Roman" w:cs="Times New Roman"/>
          <w:sz w:val="20"/>
          <w:szCs w:val="20"/>
        </w:rPr>
      </w:pPr>
      <w:r>
        <w:rPr>
          <w:rFonts w:ascii="Times New Roman" w:hAnsi="Times New Roman" w:cs="Times New Roman"/>
          <w:sz w:val="20"/>
          <w:szCs w:val="20"/>
        </w:rPr>
        <w:br w:type="page"/>
      </w:r>
    </w:p>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1A1C" w:rsidRPr="00861A1C"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Calibri" w:hAnsi="Times New Roman" w:cs="Times New Roman"/>
                <w:b/>
                <w:sz w:val="20"/>
                <w:szCs w:val="20"/>
                <w:lang w:eastAsia="hu-HU"/>
              </w:rPr>
              <w:t>Kutatásmódszertan</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b/>
                <w:sz w:val="20"/>
                <w:szCs w:val="20"/>
                <w:lang w:eastAsia="hu-HU"/>
              </w:rPr>
            </w:pPr>
            <w:r w:rsidRPr="00861A1C">
              <w:rPr>
                <w:rFonts w:ascii="Times New Roman" w:eastAsia="Arial Unicode MS" w:hAnsi="Times New Roman" w:cs="Times New Roman"/>
                <w:b/>
                <w:sz w:val="20"/>
                <w:szCs w:val="20"/>
                <w:lang w:eastAsia="hu-HU"/>
              </w:rPr>
              <w:t>GT_MNGN007-17</w:t>
            </w:r>
          </w:p>
        </w:tc>
      </w:tr>
      <w:tr w:rsidR="00861A1C" w:rsidRPr="00861A1C"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Research methodology</w:t>
            </w: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p>
        </w:tc>
      </w:tr>
      <w:tr w:rsidR="00861A1C" w:rsidRPr="00861A1C"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p>
        </w:tc>
      </w:tr>
      <w:tr w:rsidR="00861A1C" w:rsidRPr="00861A1C"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Világgazdasági és Nemzetközi Kapcsolatok Intézet</w:t>
            </w:r>
          </w:p>
        </w:tc>
      </w:tr>
      <w:tr w:rsidR="00861A1C" w:rsidRPr="00861A1C"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Arial Unicode MS" w:hAnsi="Times New Roman" w:cs="Times New Roman"/>
                <w:sz w:val="20"/>
                <w:szCs w:val="20"/>
                <w:lang w:eastAsia="hu-HU"/>
              </w:rPr>
            </w:pPr>
            <w:r w:rsidRPr="00861A1C">
              <w:rPr>
                <w:rFonts w:ascii="Times New Roman" w:eastAsia="Arial Unicode MS" w:hAnsi="Times New Roman" w:cs="Times New Roman"/>
                <w:sz w:val="20"/>
                <w:szCs w:val="20"/>
                <w:lang w:eastAsia="hu-HU"/>
              </w:rPr>
              <w:t>-</w:t>
            </w:r>
          </w:p>
        </w:tc>
      </w:tr>
      <w:tr w:rsidR="00861A1C" w:rsidRPr="00861A1C"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Oktatás nyelve</w:t>
            </w:r>
          </w:p>
        </w:tc>
      </w:tr>
      <w:tr w:rsidR="00861A1C" w:rsidRPr="00861A1C"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sz w:val="20"/>
                <w:szCs w:val="20"/>
                <w:lang w:eastAsia="hu-HU"/>
              </w:rPr>
            </w:pPr>
          </w:p>
        </w:tc>
      </w:tr>
      <w:tr w:rsidR="00861A1C" w:rsidRPr="00861A1C"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magyar</w:t>
            </w:r>
          </w:p>
        </w:tc>
      </w:tr>
      <w:tr w:rsidR="00861A1C" w:rsidRPr="00861A1C"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p>
        </w:tc>
      </w:tr>
      <w:tr w:rsidR="00861A1C" w:rsidRPr="00861A1C"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1A1C" w:rsidRPr="00861A1C" w:rsidRDefault="00861A1C" w:rsidP="00861A1C">
            <w:pPr>
              <w:spacing w:after="0" w:line="240" w:lineRule="auto"/>
              <w:ind w:left="20"/>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Pergéné Szabó Enikő</w:t>
            </w:r>
          </w:p>
        </w:tc>
        <w:tc>
          <w:tcPr>
            <w:tcW w:w="855" w:type="dxa"/>
            <w:tcBorders>
              <w:top w:val="single" w:sz="4" w:space="0" w:color="auto"/>
              <w:left w:val="nil"/>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Arial Unicode MS" w:hAnsi="Times New Roman" w:cs="Times New Roman"/>
                <w:sz w:val="20"/>
                <w:szCs w:val="20"/>
                <w:lang w:eastAsia="hu-HU"/>
              </w:rPr>
            </w:pPr>
            <w:r w:rsidRPr="00861A1C">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1A1C" w:rsidRPr="00861A1C" w:rsidRDefault="00861A1C" w:rsidP="00861A1C">
            <w:pPr>
              <w:spacing w:after="0" w:line="240" w:lineRule="auto"/>
              <w:jc w:val="center"/>
              <w:rPr>
                <w:rFonts w:ascii="Times New Roman" w:eastAsia="Calibri" w:hAnsi="Times New Roman" w:cs="Times New Roman"/>
                <w:b/>
                <w:sz w:val="20"/>
                <w:szCs w:val="20"/>
                <w:lang w:eastAsia="hu-HU"/>
              </w:rPr>
            </w:pPr>
            <w:r w:rsidRPr="00861A1C">
              <w:rPr>
                <w:rFonts w:ascii="Times New Roman" w:eastAsia="Calibri" w:hAnsi="Times New Roman" w:cs="Times New Roman"/>
                <w:b/>
                <w:sz w:val="20"/>
                <w:szCs w:val="20"/>
                <w:lang w:eastAsia="hu-HU"/>
              </w:rPr>
              <w:t>főigazgató-helyettes</w:t>
            </w:r>
          </w:p>
        </w:tc>
      </w:tr>
      <w:tr w:rsidR="00861A1C" w:rsidRPr="00861A1C"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F76266">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b/>
                <w:bCs/>
                <w:sz w:val="20"/>
                <w:szCs w:val="20"/>
                <w:lang w:eastAsia="hu-HU"/>
              </w:rPr>
              <w:t xml:space="preserve">A kurzus célja, </w:t>
            </w:r>
            <w:r w:rsidRPr="00861A1C">
              <w:rPr>
                <w:rFonts w:ascii="Times New Roman" w:eastAsia="Calibri" w:hAnsi="Times New Roman" w:cs="Times New Roman"/>
                <w:sz w:val="20"/>
                <w:szCs w:val="20"/>
                <w:lang w:eastAsia="hu-HU"/>
              </w:rPr>
              <w:t>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open science irányelveit, lehetőségeit. Sajátítsák el a szabályos hivatkozás és idézés módszereit.</w:t>
            </w:r>
          </w:p>
        </w:tc>
      </w:tr>
      <w:tr w:rsidR="00861A1C" w:rsidRPr="00861A1C"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861A1C" w:rsidRPr="00861A1C" w:rsidRDefault="00861A1C" w:rsidP="00861A1C">
            <w:pPr>
              <w:spacing w:after="0" w:line="240" w:lineRule="auto"/>
              <w:jc w:val="both"/>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Azoknak az előírt szakmai kompetenciáknak, kompetencia-elemeknek (tudás, képesség stb., KKK 7. pont) a felsorolása, amelyek kialakításához a tantárgy j</w:t>
            </w:r>
            <w:r w:rsidR="00F76266">
              <w:rPr>
                <w:rFonts w:ascii="Times New Roman" w:eastAsia="Calibri" w:hAnsi="Times New Roman" w:cs="Times New Roman"/>
                <w:b/>
                <w:bCs/>
                <w:sz w:val="20"/>
                <w:szCs w:val="20"/>
                <w:lang w:eastAsia="hu-HU"/>
              </w:rPr>
              <w:t xml:space="preserve">ellemzően, érdemben hozzájárul </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 xml:space="preserve">Tudás: </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Képesség: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Attitűd:</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Fogékony az új </w:t>
            </w:r>
            <w:proofErr w:type="gramStart"/>
            <w:r w:rsidRPr="00861A1C">
              <w:rPr>
                <w:rFonts w:ascii="Times New Roman" w:eastAsia="Calibri" w:hAnsi="Times New Roman" w:cs="Times New Roman"/>
                <w:sz w:val="20"/>
                <w:szCs w:val="20"/>
                <w:lang w:eastAsia="hu-HU"/>
              </w:rPr>
              <w:t>információk</w:t>
            </w:r>
            <w:proofErr w:type="gramEnd"/>
            <w:r w:rsidRPr="00861A1C">
              <w:rPr>
                <w:rFonts w:ascii="Times New Roman" w:eastAsia="Calibri" w:hAnsi="Times New Roman" w:cs="Times New Roman"/>
                <w:sz w:val="20"/>
                <w:szCs w:val="20"/>
                <w:lang w:eastAsia="hu-HU"/>
              </w:rPr>
              <w:t xml:space="preserve"> befogadására, az új szakmai ismeretekre és módszertanokra, új adatbázisok és keresési , elemzési technikák megismerésére.</w:t>
            </w:r>
          </w:p>
          <w:p w:rsidR="00861A1C" w:rsidRPr="00861A1C" w:rsidRDefault="00861A1C" w:rsidP="00861A1C">
            <w:pPr>
              <w:spacing w:after="0" w:line="240" w:lineRule="auto"/>
              <w:ind w:left="402"/>
              <w:jc w:val="both"/>
              <w:rPr>
                <w:rFonts w:ascii="Times New Roman" w:eastAsia="Calibri" w:hAnsi="Times New Roman" w:cs="Times New Roman"/>
                <w:i/>
                <w:sz w:val="20"/>
                <w:szCs w:val="20"/>
                <w:lang w:eastAsia="hu-HU"/>
              </w:rPr>
            </w:pPr>
            <w:r w:rsidRPr="00861A1C">
              <w:rPr>
                <w:rFonts w:ascii="Times New Roman" w:eastAsia="Calibri" w:hAnsi="Times New Roman" w:cs="Times New Roman"/>
                <w:i/>
                <w:sz w:val="20"/>
                <w:szCs w:val="20"/>
                <w:lang w:eastAsia="hu-HU"/>
              </w:rPr>
              <w:t>Autonómia és felelősség:</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Önállóan szervezi meg az adatok gyűjtését, rendszerezését, értékelését. Az elemzéseiért, következtetéseiért és döntéseiért szakmai, jogi és etikai felelősséget vállal.</w:t>
            </w:r>
          </w:p>
          <w:p w:rsidR="00861A1C" w:rsidRPr="00861A1C" w:rsidRDefault="00861A1C" w:rsidP="00861A1C">
            <w:pPr>
              <w:spacing w:after="0" w:line="240" w:lineRule="auto"/>
              <w:ind w:left="720"/>
              <w:rPr>
                <w:rFonts w:ascii="Times New Roman" w:eastAsia="Arial Unicode MS" w:hAnsi="Times New Roman" w:cs="Times New Roman"/>
                <w:b/>
                <w:bCs/>
                <w:sz w:val="20"/>
                <w:szCs w:val="20"/>
                <w:lang w:eastAsia="hu-HU"/>
              </w:rPr>
            </w:pPr>
          </w:p>
        </w:tc>
      </w:tr>
      <w:tr w:rsidR="00861A1C" w:rsidRPr="00861A1C"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 kurzus rövid tartalma, témakörei</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 </w:t>
            </w:r>
          </w:p>
          <w:p w:rsidR="00861A1C" w:rsidRPr="00861A1C" w:rsidRDefault="00861A1C" w:rsidP="00861A1C">
            <w:pPr>
              <w:spacing w:after="0" w:line="240" w:lineRule="auto"/>
              <w:ind w:right="138"/>
              <w:jc w:val="both"/>
              <w:rPr>
                <w:rFonts w:ascii="Times New Roman" w:eastAsia="Calibri" w:hAnsi="Times New Roman" w:cs="Times New Roman"/>
                <w:sz w:val="20"/>
                <w:szCs w:val="20"/>
                <w:lang w:eastAsia="hu-HU"/>
              </w:rPr>
            </w:pPr>
          </w:p>
        </w:tc>
      </w:tr>
      <w:tr w:rsidR="00861A1C" w:rsidRPr="00861A1C" w:rsidTr="00861A1C">
        <w:trPr>
          <w:trHeight w:val="722"/>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Tervezett tanulási tevékenységek, tanítási módszerek</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Projektoktatás, feladatmegoldások</w:t>
            </w:r>
          </w:p>
        </w:tc>
      </w:tr>
      <w:tr w:rsidR="00861A1C" w:rsidRPr="00861A1C" w:rsidTr="00F76266">
        <w:trPr>
          <w:trHeight w:val="515"/>
        </w:trPr>
        <w:tc>
          <w:tcPr>
            <w:tcW w:w="9939" w:type="dxa"/>
            <w:gridSpan w:val="10"/>
            <w:tcBorders>
              <w:top w:val="single" w:sz="4" w:space="0" w:color="auto"/>
              <w:left w:val="single" w:sz="4" w:space="0" w:color="auto"/>
              <w:bottom w:val="single" w:sz="4" w:space="0" w:color="auto"/>
              <w:right w:val="single" w:sz="4" w:space="0" w:color="auto"/>
            </w:tcBorders>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Értékelés</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Félév során 2 zárthelyi dolgozat. Az érdemjegy minősítése ötfokozatú.</w:t>
            </w:r>
          </w:p>
        </w:tc>
      </w:tr>
      <w:tr w:rsidR="00861A1C" w:rsidRPr="00861A1C" w:rsidTr="00F76266">
        <w:trPr>
          <w:trHeight w:val="40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Kötelező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Gyurgyák J. (2019): </w:t>
            </w:r>
            <w:hyperlink r:id="rId11" w:history="1">
              <w:r w:rsidRPr="00861A1C">
                <w:rPr>
                  <w:rFonts w:ascii="Times New Roman" w:eastAsia="Calibri" w:hAnsi="Times New Roman" w:cs="Times New Roman"/>
                  <w:color w:val="0000FF"/>
                  <w:sz w:val="20"/>
                  <w:szCs w:val="20"/>
                  <w:u w:val="single"/>
                  <w:lang w:eastAsia="hu-HU"/>
                </w:rPr>
                <w:t xml:space="preserve">A tudományos írás: Útmutató szemináriumi értekezést, szakdolgozatot és </w:t>
              </w:r>
              <w:proofErr w:type="gramStart"/>
              <w:r w:rsidRPr="00861A1C">
                <w:rPr>
                  <w:rFonts w:ascii="Times New Roman" w:eastAsia="Calibri" w:hAnsi="Times New Roman" w:cs="Times New Roman"/>
                  <w:color w:val="0000FF"/>
                  <w:sz w:val="20"/>
                  <w:szCs w:val="20"/>
                  <w:u w:val="single"/>
                  <w:lang w:eastAsia="hu-HU"/>
                </w:rPr>
                <w:t>disszertációt</w:t>
              </w:r>
              <w:proofErr w:type="gramEnd"/>
              <w:r w:rsidRPr="00861A1C">
                <w:rPr>
                  <w:rFonts w:ascii="Times New Roman" w:eastAsia="Calibri" w:hAnsi="Times New Roman" w:cs="Times New Roman"/>
                  <w:color w:val="0000FF"/>
                  <w:sz w:val="20"/>
                  <w:szCs w:val="20"/>
                  <w:u w:val="single"/>
                  <w:lang w:eastAsia="hu-HU"/>
                </w:rPr>
                <w:t xml:space="preserve"> íróknak</w:t>
              </w:r>
            </w:hyperlink>
            <w:r w:rsidRPr="00861A1C">
              <w:rPr>
                <w:rFonts w:ascii="Times New Roman" w:eastAsia="Calibri" w:hAnsi="Times New Roman" w:cs="Times New Roman"/>
                <w:sz w:val="20"/>
                <w:szCs w:val="20"/>
                <w:lang w:eastAsia="hu-HU"/>
              </w:rPr>
              <w:t>. Osiris, Budapest, 206 p.  ISBN: 978-963-276-349-1</w:t>
            </w:r>
          </w:p>
          <w:p w:rsidR="00861A1C" w:rsidRPr="00861A1C" w:rsidRDefault="00861A1C" w:rsidP="00861A1C">
            <w:pPr>
              <w:spacing w:after="0" w:line="240" w:lineRule="auto"/>
              <w:rPr>
                <w:rFonts w:ascii="Times New Roman" w:eastAsia="Calibri" w:hAnsi="Times New Roman" w:cs="Times New Roman"/>
                <w:b/>
                <w:bCs/>
                <w:sz w:val="20"/>
                <w:szCs w:val="20"/>
                <w:lang w:eastAsia="hu-HU"/>
              </w:rPr>
            </w:pPr>
            <w:r w:rsidRPr="00861A1C">
              <w:rPr>
                <w:rFonts w:ascii="Times New Roman" w:eastAsia="Calibri" w:hAnsi="Times New Roman" w:cs="Times New Roman"/>
                <w:b/>
                <w:bCs/>
                <w:sz w:val="20"/>
                <w:szCs w:val="20"/>
                <w:lang w:eastAsia="hu-HU"/>
              </w:rPr>
              <w:t>Ajánlott szakirodalom:</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Ghauri, P.</w:t>
            </w:r>
            <w:proofErr w:type="gramStart"/>
            <w:r w:rsidRPr="00861A1C">
              <w:rPr>
                <w:rFonts w:ascii="Times New Roman" w:eastAsia="Calibri" w:hAnsi="Times New Roman" w:cs="Times New Roman"/>
                <w:sz w:val="20"/>
                <w:szCs w:val="20"/>
                <w:lang w:eastAsia="hu-HU"/>
              </w:rPr>
              <w:t>-  Gr</w:t>
            </w:r>
            <w:proofErr w:type="gramEnd"/>
            <w:r w:rsidRPr="00861A1C">
              <w:rPr>
                <w:rFonts w:ascii="Times New Roman" w:eastAsia="Calibri" w:hAnsi="Times New Roman" w:cs="Times New Roman"/>
                <w:sz w:val="20"/>
                <w:szCs w:val="20"/>
                <w:lang w:eastAsia="hu-HU"/>
              </w:rPr>
              <w:t xml:space="preserve">ønhaug, K. (2011): </w:t>
            </w:r>
            <w:hyperlink r:id="rId12" w:history="1">
              <w:r w:rsidRPr="00861A1C">
                <w:rPr>
                  <w:rFonts w:ascii="Times New Roman" w:eastAsia="Calibri" w:hAnsi="Times New Roman" w:cs="Times New Roman"/>
                  <w:color w:val="0000FF"/>
                  <w:sz w:val="20"/>
                  <w:szCs w:val="20"/>
                  <w:u w:val="single"/>
                  <w:lang w:eastAsia="hu-HU"/>
                </w:rPr>
                <w:t>Kutatásmódszertan az üzleti tanulmányokban</w:t>
              </w:r>
            </w:hyperlink>
            <w:r w:rsidRPr="00861A1C">
              <w:rPr>
                <w:rFonts w:ascii="Times New Roman" w:eastAsia="Calibri" w:hAnsi="Times New Roman" w:cs="Times New Roman"/>
                <w:sz w:val="20"/>
                <w:szCs w:val="20"/>
                <w:lang w:eastAsia="hu-HU"/>
              </w:rPr>
              <w:t>. Akadémiai Kiadó, Budapest, 294 p. ISBN: 978-963-05-8978-9</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Kovács K. (2013): </w:t>
            </w:r>
            <w:hyperlink r:id="rId13" w:history="1">
              <w:r w:rsidRPr="00861A1C">
                <w:rPr>
                  <w:rFonts w:ascii="Times New Roman" w:eastAsia="Calibri" w:hAnsi="Times New Roman" w:cs="Times New Roman"/>
                  <w:color w:val="0000FF"/>
                  <w:sz w:val="20"/>
                  <w:szCs w:val="20"/>
                  <w:u w:val="single"/>
                  <w:lang w:eastAsia="hu-HU"/>
                </w:rPr>
                <w:t>Kutatási és publikálási kézikönyv nemcsak közgazdászoknak</w:t>
              </w:r>
            </w:hyperlink>
            <w:r w:rsidRPr="00861A1C">
              <w:rPr>
                <w:rFonts w:ascii="Times New Roman" w:eastAsia="Calibri" w:hAnsi="Times New Roman" w:cs="Times New Roman"/>
                <w:sz w:val="20"/>
                <w:szCs w:val="20"/>
                <w:lang w:eastAsia="hu-HU"/>
              </w:rPr>
              <w:t xml:space="preserve">. Akadémia, Budapest, 362 p. ISBN: 978 963 05 9373 1  </w:t>
            </w:r>
          </w:p>
          <w:p w:rsidR="00861A1C" w:rsidRPr="00861A1C" w:rsidRDefault="00861A1C" w:rsidP="00861A1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Majoros P. (2011): </w:t>
            </w:r>
            <w:hyperlink r:id="rId14" w:history="1">
              <w:r w:rsidRPr="00861A1C">
                <w:rPr>
                  <w:rFonts w:ascii="Times New Roman" w:eastAsia="Calibri" w:hAnsi="Times New Roman" w:cs="Times New Roman"/>
                  <w:color w:val="0000FF"/>
                  <w:sz w:val="20"/>
                  <w:szCs w:val="20"/>
                  <w:u w:val="single"/>
                  <w:lang w:eastAsia="hu-HU"/>
                </w:rPr>
                <w:t xml:space="preserve">Tanácsok, tippek, trükkök nem csak </w:t>
              </w:r>
              <w:proofErr w:type="gramStart"/>
              <w:r w:rsidRPr="00861A1C">
                <w:rPr>
                  <w:rFonts w:ascii="Times New Roman" w:eastAsia="Calibri" w:hAnsi="Times New Roman" w:cs="Times New Roman"/>
                  <w:color w:val="0000FF"/>
                  <w:sz w:val="20"/>
                  <w:szCs w:val="20"/>
                  <w:u w:val="single"/>
                  <w:lang w:eastAsia="hu-HU"/>
                </w:rPr>
                <w:t>szakdolgozatíróknak</w:t>
              </w:r>
              <w:proofErr w:type="gramEnd"/>
              <w:r w:rsidRPr="00861A1C">
                <w:rPr>
                  <w:rFonts w:ascii="Times New Roman" w:eastAsia="Calibri" w:hAnsi="Times New Roman" w:cs="Times New Roman"/>
                  <w:color w:val="0000FF"/>
                  <w:sz w:val="20"/>
                  <w:szCs w:val="20"/>
                  <w:u w:val="single"/>
                  <w:lang w:eastAsia="hu-HU"/>
                </w:rPr>
                <w:t xml:space="preserve"> avagy A kutatásmódszertan alapjai</w:t>
              </w:r>
            </w:hyperlink>
            <w:r w:rsidRPr="00861A1C">
              <w:rPr>
                <w:rFonts w:ascii="Times New Roman" w:eastAsia="Calibri" w:hAnsi="Times New Roman" w:cs="Times New Roman"/>
                <w:sz w:val="20"/>
                <w:szCs w:val="20"/>
                <w:lang w:eastAsia="hu-HU"/>
              </w:rPr>
              <w:t>. Perfekt, Budapest, 332 p. ISBN: 978-963-394-803-3</w:t>
            </w:r>
          </w:p>
          <w:p w:rsidR="00861A1C" w:rsidRPr="00861A1C" w:rsidRDefault="00861A1C" w:rsidP="00861A1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Mason, J. (2005): </w:t>
            </w:r>
            <w:hyperlink r:id="rId15" w:history="1">
              <w:r w:rsidRPr="00861A1C">
                <w:rPr>
                  <w:rFonts w:ascii="Times New Roman" w:eastAsia="Calibri" w:hAnsi="Times New Roman" w:cs="Times New Roman"/>
                  <w:color w:val="0000FF"/>
                  <w:sz w:val="20"/>
                  <w:szCs w:val="20"/>
                  <w:u w:val="single"/>
                  <w:lang w:eastAsia="hu-HU"/>
                </w:rPr>
                <w:t>A kvalitatív kutatás</w:t>
              </w:r>
            </w:hyperlink>
            <w:r w:rsidRPr="00861A1C">
              <w:rPr>
                <w:rFonts w:ascii="Times New Roman" w:eastAsia="Calibri" w:hAnsi="Times New Roman" w:cs="Times New Roman"/>
                <w:sz w:val="20"/>
                <w:szCs w:val="20"/>
                <w:lang w:eastAsia="hu-HU"/>
              </w:rPr>
              <w:t>. Jószöveg Műhely, Budapest. 208 p. ISBN: 963-7052-07-0</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861A1C" w:rsidRPr="00861A1C" w:rsidTr="00861A1C">
        <w:tc>
          <w:tcPr>
            <w:tcW w:w="9024" w:type="dxa"/>
            <w:gridSpan w:val="2"/>
            <w:shd w:val="clear" w:color="auto" w:fill="auto"/>
          </w:tcPr>
          <w:p w:rsidR="00861A1C" w:rsidRPr="00861A1C" w:rsidRDefault="00861A1C" w:rsidP="00861A1C">
            <w:pPr>
              <w:spacing w:after="0" w:line="240" w:lineRule="auto"/>
              <w:jc w:val="center"/>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Heti bontott tematika</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Bevezető óra: A kurzus célja, a DEENK szolgáltatásainak bemutatása</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Tudás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Tudományos kutatás fogalmai, típusai. A hatékony információkeresés alapjai, információforrások, általános fogalmak.</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proofErr w:type="gramStart"/>
            <w:r w:rsidRPr="00861A1C">
              <w:rPr>
                <w:rFonts w:ascii="Times New Roman" w:eastAsia="Calibri" w:hAnsi="Times New Roman" w:cs="Times New Roman"/>
                <w:sz w:val="20"/>
                <w:szCs w:val="20"/>
                <w:lang w:eastAsia="hu-HU"/>
              </w:rPr>
              <w:t>TE :</w:t>
            </w:r>
            <w:proofErr w:type="gramEnd"/>
            <w:r w:rsidRPr="00861A1C">
              <w:rPr>
                <w:rFonts w:ascii="Times New Roman" w:eastAsia="Calibri" w:hAnsi="Times New Roman" w:cs="Times New Roman"/>
                <w:sz w:val="20"/>
                <w:szCs w:val="20"/>
                <w:lang w:eastAsia="hu-HU"/>
              </w:rPr>
              <w:t xml:space="preserve"> Tudás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Times New Roman" w:hAnsi="Times New Roman" w:cs="Times New Roman"/>
                <w:sz w:val="20"/>
                <w:szCs w:val="20"/>
                <w:lang w:eastAsia="hu-HU"/>
              </w:rPr>
              <w:t>Szakirodalmi keresés kezdő lépései. Kutatási folyamat lépései</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Alkalmazás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hu-HU"/>
              </w:rPr>
            </w:pPr>
            <w:r w:rsidRPr="00861A1C">
              <w:rPr>
                <w:rFonts w:ascii="Times New Roman" w:eastAsia="Times New Roman" w:hAnsi="Times New Roman" w:cs="Times New Roman"/>
                <w:sz w:val="20"/>
                <w:szCs w:val="20"/>
                <w:lang w:eastAsia="hu-HU"/>
              </w:rPr>
              <w:t>Bibliográfiai adatbázisok, teljes szövegű források és a Discovery szolgáltatások bemutatása. Keresési módszerek ismertetése, találatok szűkítése és talált dokumentumok kezelése. Tudománymetriai alapfogalmak bemutatása. Elektronikus források: e-könyvek; e-folyóiratok adatbázisai. Keresési technikák gyakorlása</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Alkalmazás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Open Science. Legális tartalmak a világhálón – Scholar Google, Unpaywall </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Tudás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Szakirodalmi adatbázisok – keresési technikák </w:t>
            </w:r>
          </w:p>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Gyakorló feladatok</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Szintézis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szóbeli előadások típusai és sajátosságai.</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Tudás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Zárthelyi dolgozat</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Értékelés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 xml:space="preserve">Kutatás-módszertani alapok. </w:t>
            </w:r>
            <w:r w:rsidRPr="00861A1C">
              <w:rPr>
                <w:rFonts w:ascii="Times New Roman" w:eastAsia="Calibri" w:hAnsi="Times New Roman" w:cs="Times New Roman"/>
                <w:color w:val="141412"/>
                <w:sz w:val="20"/>
                <w:szCs w:val="20"/>
                <w:shd w:val="clear" w:color="auto" w:fill="FFFFFF"/>
                <w:lang w:eastAsia="hu-HU"/>
              </w:rPr>
              <w:t xml:space="preserve">Kutatásetikai alapvetés. </w:t>
            </w:r>
            <w:r w:rsidRPr="00861A1C">
              <w:rPr>
                <w:rFonts w:ascii="Times New Roman" w:eastAsia="Calibri" w:hAnsi="Times New Roman" w:cs="Times New Roman"/>
                <w:sz w:val="20"/>
                <w:szCs w:val="20"/>
                <w:lang w:eastAsia="hu-HU"/>
              </w:rPr>
              <w:t>Publikálási etika</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Alkalmazás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Referensz szoftverek használata a tudományos munkához I.</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Alkalmazás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w:t>
            </w: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Referensz szoftverek használata a tudományos munkához II.</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Alkalmazás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Gyakorlás - referensz szoftverek</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Értékelés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Zárthelyi dolgozat</w:t>
            </w:r>
          </w:p>
        </w:tc>
      </w:tr>
      <w:tr w:rsidR="00861A1C" w:rsidRPr="00861A1C" w:rsidTr="00861A1C">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Értékelés</w:t>
            </w:r>
          </w:p>
        </w:tc>
      </w:tr>
      <w:tr w:rsidR="00861A1C" w:rsidRPr="00861A1C" w:rsidTr="00861A1C">
        <w:tc>
          <w:tcPr>
            <w:tcW w:w="1510" w:type="dxa"/>
            <w:vMerge w:val="restart"/>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A félév összefoglalása, értékelés</w:t>
            </w:r>
          </w:p>
        </w:tc>
      </w:tr>
      <w:tr w:rsidR="00861A1C" w:rsidRPr="00861A1C" w:rsidTr="00861A1C">
        <w:trPr>
          <w:trHeight w:val="70"/>
        </w:trPr>
        <w:tc>
          <w:tcPr>
            <w:tcW w:w="1510" w:type="dxa"/>
            <w:vMerge/>
            <w:shd w:val="clear" w:color="auto" w:fill="auto"/>
          </w:tcPr>
          <w:p w:rsidR="00861A1C" w:rsidRPr="00861A1C" w:rsidRDefault="00861A1C" w:rsidP="00861A1C">
            <w:pPr>
              <w:numPr>
                <w:ilvl w:val="0"/>
                <w:numId w:val="6"/>
              </w:numPr>
              <w:spacing w:after="0" w:line="240" w:lineRule="auto"/>
              <w:rPr>
                <w:rFonts w:ascii="Times New Roman" w:eastAsia="Calibri" w:hAnsi="Times New Roman" w:cs="Times New Roman"/>
                <w:sz w:val="20"/>
                <w:szCs w:val="20"/>
                <w:lang w:eastAsia="hu-HU"/>
              </w:rPr>
            </w:pPr>
          </w:p>
        </w:tc>
        <w:tc>
          <w:tcPr>
            <w:tcW w:w="7514" w:type="dxa"/>
            <w:shd w:val="clear" w:color="auto" w:fill="auto"/>
          </w:tcPr>
          <w:p w:rsidR="00861A1C" w:rsidRPr="00861A1C" w:rsidRDefault="00861A1C" w:rsidP="00861A1C">
            <w:pPr>
              <w:spacing w:after="0" w:line="240" w:lineRule="auto"/>
              <w:jc w:val="both"/>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Értékelés</w:t>
            </w:r>
          </w:p>
        </w:tc>
      </w:tr>
    </w:tbl>
    <w:p w:rsidR="00861A1C" w:rsidRPr="00861A1C" w:rsidRDefault="00861A1C" w:rsidP="00861A1C">
      <w:pPr>
        <w:spacing w:after="0" w:line="240" w:lineRule="auto"/>
        <w:rPr>
          <w:rFonts w:ascii="Times New Roman" w:eastAsia="Calibri" w:hAnsi="Times New Roman" w:cs="Times New Roman"/>
          <w:sz w:val="20"/>
          <w:szCs w:val="20"/>
          <w:lang w:eastAsia="hu-HU"/>
        </w:rPr>
      </w:pPr>
      <w:r w:rsidRPr="00861A1C">
        <w:rPr>
          <w:rFonts w:ascii="Times New Roman" w:eastAsia="Calibri" w:hAnsi="Times New Roman" w:cs="Times New Roman"/>
          <w:sz w:val="20"/>
          <w:szCs w:val="20"/>
          <w:lang w:eastAsia="hu-HU"/>
        </w:rPr>
        <w:t>*TE tanulási eredmények</w:t>
      </w:r>
    </w:p>
    <w:p w:rsidR="00C53713" w:rsidRDefault="00C53713">
      <w:pPr>
        <w:rPr>
          <w:rFonts w:ascii="Times New Roman" w:hAnsi="Times New Roman" w:cs="Times New Roman"/>
          <w:sz w:val="20"/>
          <w:szCs w:val="20"/>
        </w:rPr>
      </w:pPr>
      <w:r>
        <w:rPr>
          <w:rFonts w:ascii="Times New Roman" w:hAnsi="Times New Roman" w:cs="Times New Roman"/>
          <w:sz w:val="20"/>
          <w:szCs w:val="20"/>
        </w:rPr>
        <w:br w:type="page"/>
      </w:r>
    </w:p>
    <w:p w:rsidR="00C53713" w:rsidRPr="00C53713" w:rsidRDefault="00C53713" w:rsidP="00C5371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53713" w:rsidRPr="00C53713"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b/>
                <w:sz w:val="20"/>
                <w:szCs w:val="16"/>
                <w:lang w:eastAsia="hu-HU"/>
              </w:rPr>
            </w:pPr>
            <w:r w:rsidRPr="00C53713">
              <w:rPr>
                <w:rFonts w:ascii="Times New Roman" w:eastAsia="Arial Unicode MS" w:hAnsi="Times New Roman" w:cs="Times New Roman"/>
                <w:b/>
                <w:sz w:val="20"/>
                <w:szCs w:val="16"/>
                <w:lang w:eastAsia="hu-HU"/>
              </w:rPr>
              <w:t xml:space="preserve">Globális Vállalati Stratégiák és </w:t>
            </w:r>
          </w:p>
          <w:p w:rsidR="00C53713" w:rsidRPr="00C53713" w:rsidRDefault="00C53713" w:rsidP="00C53713">
            <w:pPr>
              <w:spacing w:after="0" w:line="240" w:lineRule="auto"/>
              <w:jc w:val="center"/>
              <w:rPr>
                <w:rFonts w:ascii="Times New Roman" w:eastAsia="Arial Unicode MS" w:hAnsi="Times New Roman" w:cs="Times New Roman"/>
                <w:b/>
                <w:sz w:val="20"/>
                <w:szCs w:val="16"/>
                <w:lang w:eastAsia="hu-HU"/>
              </w:rPr>
            </w:pPr>
            <w:r w:rsidRPr="00C53713">
              <w:rPr>
                <w:rFonts w:ascii="Times New Roman" w:eastAsia="Arial Unicode MS" w:hAnsi="Times New Roman" w:cs="Times New Roman"/>
                <w:b/>
                <w:sz w:val="20"/>
                <w:szCs w:val="16"/>
                <w:lang w:eastAsia="hu-HU"/>
              </w:rPr>
              <w:t>Többszintű Kormányzás</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Arial Unicode MS" w:hAnsi="Times New Roman" w:cs="Times New Roman"/>
                <w:sz w:val="16"/>
                <w:szCs w:val="16"/>
                <w:lang w:eastAsia="hu-HU"/>
              </w:rPr>
            </w:pPr>
            <w:r w:rsidRPr="00C53713">
              <w:rPr>
                <w:rFonts w:ascii="Times New Roman" w:eastAsia="Calibri" w:hAnsi="Times New Roman" w:cs="Times New Roman"/>
                <w:sz w:val="20"/>
                <w:szCs w:val="20"/>
                <w:lang w:eastAsia="hu-HU"/>
              </w:rPr>
              <w:t>Kódja</w:t>
            </w:r>
            <w:r w:rsidRPr="00C5371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b/>
                <w:sz w:val="20"/>
                <w:szCs w:val="20"/>
                <w:lang w:eastAsia="hu-HU"/>
              </w:rPr>
            </w:pPr>
            <w:r w:rsidRPr="00C53713">
              <w:rPr>
                <w:rFonts w:ascii="Times New Roman" w:eastAsia="Arial Unicode MS" w:hAnsi="Times New Roman" w:cs="Times New Roman"/>
                <w:b/>
                <w:sz w:val="20"/>
                <w:szCs w:val="20"/>
                <w:lang w:eastAsia="hu-HU"/>
              </w:rPr>
              <w:t>GT_MNGN019-17</w:t>
            </w:r>
          </w:p>
        </w:tc>
      </w:tr>
      <w:tr w:rsidR="00C53713" w:rsidRPr="00C53713"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Global Corporate Strategies and Multi-Level Governance</w:t>
            </w: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p>
        </w:tc>
      </w:tr>
      <w:tr w:rsidR="00C53713" w:rsidRPr="00C53713"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b/>
                <w:bCs/>
                <w:sz w:val="24"/>
                <w:szCs w:val="24"/>
                <w:lang w:eastAsia="hu-HU"/>
              </w:rPr>
            </w:pPr>
          </w:p>
        </w:tc>
      </w:tr>
      <w:tr w:rsidR="00C53713" w:rsidRPr="00C53713"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ind w:left="20"/>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Világgazdasági és Nemzetközi Kapcsolatok Intézet</w:t>
            </w:r>
          </w:p>
        </w:tc>
      </w:tr>
      <w:tr w:rsidR="00C53713" w:rsidRPr="00C53713"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numPr>
                <w:ilvl w:val="0"/>
                <w:numId w:val="7"/>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sz w:val="20"/>
                <w:szCs w:val="20"/>
                <w:lang w:eastAsia="hu-HU"/>
              </w:rPr>
            </w:pPr>
          </w:p>
        </w:tc>
      </w:tr>
      <w:tr w:rsidR="00C53713" w:rsidRPr="00C53713"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Oktatás nyelve</w:t>
            </w:r>
          </w:p>
        </w:tc>
      </w:tr>
      <w:tr w:rsidR="00C53713" w:rsidRPr="00C53713"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r>
      <w:tr w:rsidR="00C53713" w:rsidRPr="00C53713"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magyar</w:t>
            </w:r>
          </w:p>
        </w:tc>
      </w:tr>
      <w:tr w:rsidR="00C53713" w:rsidRPr="00C53713"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r>
      <w:tr w:rsidR="00C53713" w:rsidRPr="00C53713"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r w:rsidRPr="00C53713">
              <w:rPr>
                <w:rFonts w:ascii="Times New Roman" w:eastAsia="Calibri" w:hAnsi="Times New Roman" w:cs="Times New Roman"/>
                <w:sz w:val="20"/>
                <w:szCs w:val="20"/>
                <w:lang w:eastAsia="hu-HU"/>
              </w:rPr>
              <w:t>beosztása</w:t>
            </w:r>
            <w:r w:rsidRPr="00C5371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egyetemi adjunktus</w:t>
            </w:r>
          </w:p>
        </w:tc>
      </w:tr>
      <w:tr w:rsidR="00C53713" w:rsidRPr="00C53713"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b/>
                <w:bCs/>
                <w:sz w:val="20"/>
                <w:szCs w:val="20"/>
                <w:lang w:eastAsia="hu-HU"/>
              </w:rPr>
              <w:t xml:space="preserve">A kurzus célja, </w:t>
            </w:r>
            <w:r w:rsidRPr="00C53713">
              <w:rPr>
                <w:rFonts w:ascii="Times New Roman" w:eastAsia="Calibri" w:hAnsi="Times New Roman" w:cs="Times New Roman"/>
                <w:sz w:val="20"/>
                <w:szCs w:val="20"/>
                <w:lang w:eastAsia="hu-HU"/>
              </w:rPr>
              <w:t>hogy a hallgatók</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megismerjék a stratégiai menedzsment történetét és alapfogalmait, a stratégiai elemzés folyamatát, lépéseit, valamint a megismerjék és értelmezzék a többszintű kormányzás fogalmát és értelmezését a globális vállalatok tekintetében. </w:t>
            </w:r>
          </w:p>
          <w:p w:rsidR="00C53713" w:rsidRPr="00C53713" w:rsidRDefault="00C53713" w:rsidP="00C53713">
            <w:pPr>
              <w:spacing w:after="0" w:line="240" w:lineRule="auto"/>
              <w:rPr>
                <w:rFonts w:ascii="Times New Roman" w:eastAsia="Calibri" w:hAnsi="Times New Roman" w:cs="Times New Roman"/>
                <w:sz w:val="20"/>
                <w:szCs w:val="20"/>
                <w:lang w:eastAsia="hu-HU"/>
              </w:rPr>
            </w:pPr>
          </w:p>
        </w:tc>
      </w:tr>
      <w:tr w:rsidR="00C53713" w:rsidRPr="00C53713"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C53713" w:rsidRPr="00C53713" w:rsidRDefault="00C53713" w:rsidP="00C53713">
            <w:pPr>
              <w:spacing w:after="0" w:line="240" w:lineRule="auto"/>
              <w:jc w:val="both"/>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 xml:space="preserve">Tudás: </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hallgató elméleti ismereteket szereznek a globális vállalatok működéséről, működési környezetéről és az őket érintő kihívásokról. Az elméleti ismereteken túl a hallgatók idegen nyelvű tudományos cikkek és tanulmányok megismerésével mélyítik el tudásukat. A megszerzett tudásukat gyakorlati példákon, esettanulmányokon, feladatokon keresztül tanulják meg alkalmazni. A megoldásokat a szemináriumokon szóban előadják.</w:t>
            </w:r>
          </w:p>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Képesség:</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Alapvető összefüggések felismerése és a globális környezet jelentette kihívásokat értelmezi képes innovatív, analitikus, gondolkodásmód elsajátítása. Önálló munka keretében egy esettanulmány feldolgozása és szóbeli prezentálása.</w:t>
            </w:r>
          </w:p>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Attitűd:</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tantárgy elősegíti, hogy a hallgató, megfelelő és átfogó képet kapjon a globálisan működő vállalatokról, értelmezni tudja a többszintű kormányzást, annak jelentőségét. Etikus, proaktív magatartást tanúsítson a csoportos feladatok elvégzése során és fogékony legyen az új szakmai ismerete befogadására.</w:t>
            </w:r>
          </w:p>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Autonómia és felelősség:</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Az elmélet megértésével a hallgató, mint a globális vállalatok potenciális munkavállalója vagy más érintettje komplex módon, az összefüggéseiket felismerve értelmezni tudja a vállalat piaci szerepét, helyzetét és megérti annak működését. Figyelemmel kíséri a globális környezetet érintő változásokat és képes azok alapján felelősséggel döntést hozni.</w:t>
            </w:r>
          </w:p>
          <w:p w:rsidR="00C53713" w:rsidRPr="00C53713" w:rsidRDefault="00C53713" w:rsidP="00C53713">
            <w:pPr>
              <w:spacing w:after="0" w:line="240" w:lineRule="auto"/>
              <w:ind w:left="720"/>
              <w:rPr>
                <w:rFonts w:ascii="Times New Roman" w:eastAsia="Arial Unicode MS" w:hAnsi="Times New Roman" w:cs="Times New Roman"/>
                <w:b/>
                <w:bCs/>
                <w:sz w:val="20"/>
                <w:szCs w:val="20"/>
                <w:lang w:eastAsia="hu-HU"/>
              </w:rPr>
            </w:pPr>
          </w:p>
        </w:tc>
      </w:tr>
      <w:tr w:rsidR="00C53713" w:rsidRPr="00C53713"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A kurzus rövid tartalma, témakörei</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Témakörök: A stratégiai menedzsment története és alapfogalmai; Stratégiai elemzés: Szándékok és érdekek; Stratégiai elemzés: A külső környezet elemzése (makro és mikro környezet); Stratégiai elemzés: A belső helyzet elemzése; A stratégiai akcióválasztás első lépése: Alternatívák felállítása; A stratégiai akcióválasztás további lépései; A stratégia végrehajtása; Többszintű kormányzás</w:t>
            </w:r>
          </w:p>
        </w:tc>
      </w:tr>
      <w:tr w:rsidR="00C53713" w:rsidRPr="00C53713" w:rsidTr="00C537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Tervezett tanulási tevékenységek, tanítási módszerek</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hallgatók az előadásokon elméleti ismereteket szereznek, ezen ismereteiket az oktató által kijelölt magyar és idegen nyelvű tudományos cikkek és tanulmányok megismerésével és azok szemináriumokon történő megvitatásával mélyítik el. A félév során, a szemináriumokon a hallgatók önállóan dolgoznak, a kiadott esettanulmányokat feldolgozzák, azokról prezentációkat készítenek, melyeket az órákon előadnak, megvitatnak, értékelnek.</w:t>
            </w:r>
          </w:p>
        </w:tc>
      </w:tr>
      <w:tr w:rsidR="00C53713" w:rsidRPr="00C53713"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Értékelés</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Aláírás: a szemináriumi órákról max. 3 hiányzás elfogadott. </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A hallgatók a szemináriumi órákon esettanulmányokat dolgoznak fel és prezentálnak. A prezentációra előzetesen kiadott szempontrendszer alapján érdemjegyet kapnak. </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A félév írásbeli vizsgával zárul. </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A végső érdemjegy az írásbeli vizsga és prezentáció érdemjegyéből kerül kiszámításra (50-50%). </w:t>
            </w:r>
          </w:p>
        </w:tc>
      </w:tr>
      <w:tr w:rsidR="00C53713" w:rsidRPr="00C53713"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Kötelező szakirodalom:</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C53713">
              <w:rPr>
                <w:rFonts w:ascii="Times New Roman" w:eastAsia="Calibri" w:hAnsi="Times New Roman" w:cs="Times New Roman"/>
                <w:sz w:val="20"/>
                <w:szCs w:val="20"/>
                <w:lang w:eastAsia="hu-HU"/>
              </w:rPr>
              <w:t xml:space="preserve">Tuka Ágnes (2009): Az Európai Uniónk színe és fonákja. Publikon Kiadó, Pécs (4. Fejezet: Elméleti Megközelítések. 24-54. O.) Online Elérhető: </w:t>
            </w:r>
            <w:hyperlink r:id="rId16" w:tgtFrame="_blank" w:history="1">
              <w:r w:rsidRPr="00C53713">
                <w:rPr>
                  <w:rFonts w:ascii="Times New Roman" w:eastAsia="Calibri" w:hAnsi="Times New Roman" w:cs="Times New Roman"/>
                  <w:sz w:val="20"/>
                  <w:szCs w:val="20"/>
                  <w:lang w:eastAsia="hu-HU"/>
                </w:rPr>
                <w:t>Https://Www.Tankonyvtar.Hu/Hu/Tartalom/Tamop425/0050_08_Tuka_Agnes/Ch04.Html</w:t>
              </w:r>
            </w:hyperlink>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C53713">
              <w:rPr>
                <w:rFonts w:ascii="Times New Roman" w:eastAsia="Calibri" w:hAnsi="Times New Roman" w:cs="Times New Roman"/>
                <w:sz w:val="20"/>
                <w:szCs w:val="20"/>
                <w:lang w:eastAsia="hu-HU"/>
              </w:rPr>
              <w:lastRenderedPageBreak/>
              <w:t>D. Morschett – H. Schramm-Klein – J. Zentes (2015): Strategic International Management. Text And Cases. 3rd Edition. Springer Gabler: Wiesbaden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C53713">
              <w:rPr>
                <w:rFonts w:ascii="Times New Roman" w:eastAsia="Calibri" w:hAnsi="Times New Roman" w:cs="Times New Roman"/>
                <w:sz w:val="20"/>
                <w:szCs w:val="20"/>
                <w:lang w:eastAsia="hu-HU"/>
              </w:rPr>
              <w:t>T. Cannon (2012): Corporate Responsibility: Governance, Compliance And Ethics In A Sustainable Environment, 2/E. Pearson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C53713">
              <w:rPr>
                <w:rFonts w:ascii="Times New Roman" w:eastAsia="Calibri" w:hAnsi="Times New Roman" w:cs="Times New Roman"/>
                <w:sz w:val="20"/>
                <w:szCs w:val="20"/>
                <w:lang w:eastAsia="hu-HU"/>
              </w:rPr>
              <w:t>T. L. Wheelen – J. D. Hunger – A. N. Hoffman – C.E. Bamford (2018): Strategic Management And Business Policy: Globalization, Innovation And Sustainability, Global Edition, 15/E. Pearson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C53713">
              <w:rPr>
                <w:rFonts w:ascii="Times New Roman" w:eastAsia="Calibri" w:hAnsi="Times New Roman" w:cs="Times New Roman"/>
                <w:sz w:val="20"/>
                <w:szCs w:val="20"/>
                <w:lang w:eastAsia="hu-HU"/>
              </w:rPr>
              <w:t>Gulyás L. (Szerk.) (2014): Stratégiai Menedzsment. Szun-Ce-Tól A „Kék Óceánig” Jate Press</w:t>
            </w:r>
          </w:p>
          <w:p w:rsidR="00C53713" w:rsidRPr="00C53713" w:rsidRDefault="00C53713" w:rsidP="00C53713">
            <w:pPr>
              <w:shd w:val="clear" w:color="auto" w:fill="E5DFEC"/>
              <w:suppressAutoHyphens/>
              <w:autoSpaceDE w:val="0"/>
              <w:spacing w:before="60" w:after="60" w:line="240" w:lineRule="auto"/>
              <w:ind w:right="113"/>
              <w:jc w:val="both"/>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 xml:space="preserve">Ajánlott szakirodalom: </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Csizmadia Norbert (2016): Geopillanat, L’Harmattan </w:t>
            </w:r>
            <w:proofErr w:type="gramStart"/>
            <w:r w:rsidRPr="00C53713">
              <w:rPr>
                <w:rFonts w:ascii="Times New Roman" w:eastAsia="Calibri" w:hAnsi="Times New Roman" w:cs="Times New Roman"/>
                <w:sz w:val="20"/>
                <w:szCs w:val="20"/>
                <w:lang w:eastAsia="hu-HU"/>
              </w:rPr>
              <w:t>Kiadó  ISBN</w:t>
            </w:r>
            <w:proofErr w:type="gramEnd"/>
            <w:r w:rsidRPr="00C53713">
              <w:rPr>
                <w:rFonts w:ascii="Times New Roman" w:eastAsia="Calibri" w:hAnsi="Times New Roman" w:cs="Times New Roman"/>
                <w:sz w:val="20"/>
                <w:szCs w:val="20"/>
                <w:lang w:eastAsia="hu-HU"/>
              </w:rPr>
              <w:t>: 9789634141471</w:t>
            </w:r>
          </w:p>
        </w:tc>
      </w:tr>
    </w:tbl>
    <w:p w:rsidR="00C53713" w:rsidRPr="00C53713" w:rsidRDefault="00C53713" w:rsidP="00C53713">
      <w:pPr>
        <w:spacing w:after="0" w:line="240" w:lineRule="auto"/>
        <w:rPr>
          <w:rFonts w:ascii="Times New Roman" w:eastAsia="Calibri" w:hAnsi="Times New Roman" w:cs="Times New Roman"/>
          <w:sz w:val="20"/>
          <w:szCs w:val="20"/>
          <w:lang w:eastAsia="hu-HU"/>
        </w:rPr>
      </w:pPr>
    </w:p>
    <w:p w:rsidR="00C53713" w:rsidRPr="00C53713" w:rsidRDefault="00C53713" w:rsidP="00C53713">
      <w:pPr>
        <w:spacing w:after="0" w:line="240" w:lineRule="auto"/>
        <w:jc w:val="center"/>
        <w:rPr>
          <w:rFonts w:ascii="Times New Roman" w:eastAsia="Calibri" w:hAnsi="Times New Roman" w:cs="Times New Roman"/>
          <w:b/>
          <w:sz w:val="28"/>
          <w:szCs w:val="28"/>
          <w:lang w:eastAsia="hu-HU"/>
        </w:rPr>
      </w:pPr>
      <w:r w:rsidRPr="00C53713">
        <w:rPr>
          <w:rFonts w:ascii="Times New Roman" w:eastAsia="Calibri" w:hAnsi="Times New Roman" w:cs="Times New Roman"/>
          <w:b/>
          <w:sz w:val="28"/>
          <w:szCs w:val="28"/>
          <w:lang w:eastAsia="hu-HU"/>
        </w:rPr>
        <w:t>Heti bontott tematika (előadások)</w:t>
      </w:r>
    </w:p>
    <w:p w:rsidR="00C53713" w:rsidRPr="00C53713" w:rsidRDefault="00C53713" w:rsidP="00C53713">
      <w:pPr>
        <w:spacing w:after="0" w:line="240" w:lineRule="auto"/>
        <w:jc w:val="center"/>
        <w:rPr>
          <w:rFonts w:ascii="Times New Roman" w:eastAsia="Calibri" w:hAnsi="Times New Roman" w:cs="Times New Roman"/>
          <w:b/>
          <w:sz w:val="28"/>
          <w:szCs w:val="28"/>
          <w:lang w:eastAsia="hu-H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9107"/>
      </w:tblGrid>
      <w:tr w:rsidR="00C53713" w:rsidRPr="00C53713" w:rsidTr="00C53713">
        <w:tc>
          <w:tcPr>
            <w:tcW w:w="527" w:type="dxa"/>
          </w:tcPr>
          <w:p w:rsidR="00C53713" w:rsidRPr="00C53713" w:rsidRDefault="00C53713" w:rsidP="00C53713">
            <w:pPr>
              <w:spacing w:before="120" w:after="120" w:line="240" w:lineRule="auto"/>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Hét</w:t>
            </w:r>
          </w:p>
        </w:tc>
        <w:tc>
          <w:tcPr>
            <w:tcW w:w="9107" w:type="dxa"/>
          </w:tcPr>
          <w:p w:rsidR="00C53713" w:rsidRPr="00C53713" w:rsidRDefault="00C53713" w:rsidP="00C53713">
            <w:pPr>
              <w:spacing w:before="120" w:after="120" w:line="240" w:lineRule="auto"/>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Témakörök</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Tantárgyi tematika és követelményrendszer ismertetése; Bevezetés</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tantárgyi tematikát és követelményrendszert, a félév során feldolgozásra kerülő témaköröket. Ismeri a tantárgy hallgatása által megszerezhető ismereteket.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2.</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A stratégiai menedzsment története és alapfogalmai</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stratégiai menedzsment történetét és alapfogalmait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3.</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Stratégiai elemzés: Szándékok és érdekek</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Tisztában van a küldetéssel és az értékekkel, a jövőképpel, stratégiai nyilatkozattal és célokkal</w:t>
            </w:r>
          </w:p>
        </w:tc>
      </w:tr>
      <w:tr w:rsidR="00C53713" w:rsidRPr="00C53713" w:rsidTr="00C53713">
        <w:tc>
          <w:tcPr>
            <w:tcW w:w="52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4.</w:t>
            </w:r>
          </w:p>
        </w:tc>
        <w:tc>
          <w:tcPr>
            <w:tcW w:w="910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Stratégiai elemzés: A külső környezet elemzése (makro környezet)</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TE: Tisztában van a makro környezet elemzésével  </w:t>
            </w:r>
          </w:p>
        </w:tc>
      </w:tr>
      <w:tr w:rsidR="00C53713" w:rsidRPr="00C53713" w:rsidTr="00C53713">
        <w:tc>
          <w:tcPr>
            <w:tcW w:w="52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5.</w:t>
            </w:r>
          </w:p>
        </w:tc>
        <w:tc>
          <w:tcPr>
            <w:tcW w:w="910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Stratégiai elemzés: A külső környezet elemzése (mikro környezet)</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TE: Tisztában van a mikrokörnyezet elemzésével  </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6.</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Stratégiai elemzés: A belső helyzet elemzése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belső erőforrások átvilágítását, az értéklánc elemzést, a SWOT elemzést és a benchmarking elemzéseket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7.</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A stratégiai akcióválasztás első lépése: Alternatívák felállítása</w:t>
            </w:r>
          </w:p>
          <w:p w:rsidR="00C53713" w:rsidRPr="00C53713" w:rsidRDefault="00C53713" w:rsidP="00C53713">
            <w:pPr>
              <w:spacing w:after="0" w:line="240" w:lineRule="auto"/>
              <w:ind w:left="132"/>
              <w:rPr>
                <w:rFonts w:ascii="Times New Roman" w:eastAsia="Calibri" w:hAnsi="Times New Roman" w:cs="Times New Roman"/>
                <w:i/>
                <w:sz w:val="20"/>
                <w:szCs w:val="20"/>
                <w:lang w:eastAsia="hu-HU"/>
              </w:rPr>
            </w:pPr>
            <w:r w:rsidRPr="00C53713">
              <w:rPr>
                <w:rFonts w:ascii="Times New Roman" w:eastAsia="Calibri" w:hAnsi="Times New Roman" w:cs="Times New Roman"/>
                <w:sz w:val="20"/>
                <w:szCs w:val="20"/>
                <w:lang w:eastAsia="hu-HU"/>
              </w:rPr>
              <w:t>TE: Tisztában van a stratégiai akcióválasztás lépéseivel, a stratégiai alternatívák kidolgozásával</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8.</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A stratégiai akcióválasztás további lépései</w:t>
            </w:r>
          </w:p>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sz w:val="20"/>
                <w:szCs w:val="20"/>
                <w:lang w:eastAsia="hu-HU"/>
              </w:rPr>
              <w:t>TE: Tisztában van az alternatívák összevetésének folyamatával és a stratégiai döntéssel.</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9.</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 xml:space="preserve">A stratégia végrehajtása 1. </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végrehajtás lépéseit, az egyes lépések jellemzőit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10.</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 xml:space="preserve">A stratégia végrehajtása 2. </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végrehajtás lépéseit, az egyes lépések jellemzőit</w:t>
            </w:r>
          </w:p>
        </w:tc>
      </w:tr>
      <w:tr w:rsidR="00C53713" w:rsidRPr="00C53713" w:rsidTr="00C53713">
        <w:trPr>
          <w:trHeight w:val="342"/>
        </w:trPr>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11.</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Vendég előadó: nemzetközi vállalati stratégiák (nagyvállalati példa)</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az adott vállalat nemzetközi piacra lépésének okait, stratégiáját, folyamatát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12.</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Vendég előadó: nemzetközi vállalati stratégiák (KKV példa)</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az adott vállalat nemzetközi piacra lépésének okait, stratégiáját, folyamatát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13.</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Többszintű kormányzás</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TE: A többszintű kormányzás fogalmának megismerése és értelmezése a globális vállalatok tekintetében </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14. </w:t>
            </w:r>
          </w:p>
        </w:tc>
        <w:tc>
          <w:tcPr>
            <w:tcW w:w="9107"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Összefoglalás</w:t>
            </w:r>
          </w:p>
          <w:p w:rsidR="00C53713" w:rsidRPr="00C53713" w:rsidRDefault="00C53713" w:rsidP="00C53713">
            <w:pPr>
              <w:spacing w:after="0" w:line="240" w:lineRule="auto"/>
              <w:ind w:left="132"/>
              <w:rPr>
                <w:rFonts w:ascii="Times New Roman" w:eastAsia="Calibri" w:hAnsi="Times New Roman" w:cs="Times New Roman"/>
                <w:i/>
                <w:sz w:val="20"/>
                <w:szCs w:val="20"/>
                <w:lang w:eastAsia="hu-HU"/>
              </w:rPr>
            </w:pPr>
            <w:r w:rsidRPr="00C53713">
              <w:rPr>
                <w:rFonts w:ascii="Times New Roman" w:eastAsia="Calibri" w:hAnsi="Times New Roman" w:cs="Times New Roman"/>
                <w:sz w:val="20"/>
                <w:szCs w:val="20"/>
                <w:lang w:eastAsia="hu-HU"/>
              </w:rPr>
              <w:t>TE: a kurzus összegzése, áttekintése</w:t>
            </w:r>
          </w:p>
        </w:tc>
      </w:tr>
    </w:tbl>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tanulási eredmények</w:t>
      </w:r>
    </w:p>
    <w:p w:rsidR="00C53713" w:rsidRPr="00C53713" w:rsidRDefault="00C53713" w:rsidP="00C53713">
      <w:pPr>
        <w:spacing w:after="0" w:line="240" w:lineRule="auto"/>
        <w:rPr>
          <w:rFonts w:ascii="Times New Roman" w:eastAsia="Calibri" w:hAnsi="Times New Roman" w:cs="Times New Roman"/>
          <w:sz w:val="20"/>
          <w:szCs w:val="20"/>
          <w:lang w:eastAsia="hu-HU"/>
        </w:rPr>
      </w:pPr>
    </w:p>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b/>
          <w:sz w:val="28"/>
          <w:szCs w:val="28"/>
          <w:lang w:eastAsia="hu-HU"/>
        </w:rPr>
        <w:t>Heti bontott tematika (szemináriumok)</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9020"/>
      </w:tblGrid>
      <w:tr w:rsidR="00C53713" w:rsidRPr="00C53713" w:rsidTr="00C53713">
        <w:tc>
          <w:tcPr>
            <w:tcW w:w="527" w:type="dxa"/>
          </w:tcPr>
          <w:p w:rsidR="00C53713" w:rsidRPr="00C53713" w:rsidRDefault="00C53713" w:rsidP="00C53713">
            <w:pPr>
              <w:spacing w:before="120" w:after="120" w:line="240" w:lineRule="auto"/>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Hét</w:t>
            </w:r>
          </w:p>
        </w:tc>
        <w:tc>
          <w:tcPr>
            <w:tcW w:w="9020" w:type="dxa"/>
          </w:tcPr>
          <w:p w:rsidR="00C53713" w:rsidRPr="00C53713" w:rsidRDefault="00C53713" w:rsidP="00C53713">
            <w:pPr>
              <w:spacing w:before="120" w:after="120" w:line="240" w:lineRule="auto"/>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Témakörök</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Tantárgyi tematika és követelményrendszer ismertetése; az esettanulmányok kiosztása</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Ismeri a tantárgyi tematikát és követelményrendszert, a félév során feldolgozásra kerülő témaköröket. Ismeri a tantárgy hallgatása által megszerezhető ismereteket.</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2.</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3.</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4.</w:t>
            </w:r>
          </w:p>
        </w:tc>
        <w:tc>
          <w:tcPr>
            <w:tcW w:w="9020"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5.</w:t>
            </w:r>
          </w:p>
        </w:tc>
        <w:tc>
          <w:tcPr>
            <w:tcW w:w="9020" w:type="dxa"/>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6.</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7.</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i/>
                <w:sz w:val="20"/>
                <w:szCs w:val="20"/>
                <w:lang w:eastAsia="hu-HU"/>
              </w:rPr>
            </w:pPr>
            <w:r w:rsidRPr="00C53713">
              <w:rPr>
                <w:rFonts w:ascii="Times New Roman" w:eastAsia="Calibri" w:hAnsi="Times New Roman" w:cs="Times New Roman"/>
                <w:sz w:val="20"/>
                <w:szCs w:val="20"/>
                <w:lang w:eastAsia="hu-HU"/>
              </w:rPr>
              <w:lastRenderedPageBreak/>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lastRenderedPageBreak/>
              <w:t>8.</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9.</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10.</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rPr>
          <w:trHeight w:val="342"/>
        </w:trPr>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11.</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12.</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13.</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r w:rsidR="00C53713" w:rsidRPr="00C53713" w:rsidTr="00C53713">
        <w:tc>
          <w:tcPr>
            <w:tcW w:w="527" w:type="dxa"/>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14. </w:t>
            </w:r>
          </w:p>
        </w:tc>
        <w:tc>
          <w:tcPr>
            <w:tcW w:w="9020" w:type="dxa"/>
          </w:tcPr>
          <w:p w:rsidR="00C53713" w:rsidRPr="00C53713" w:rsidRDefault="00C53713" w:rsidP="00C53713">
            <w:pPr>
              <w:spacing w:after="0" w:line="240" w:lineRule="auto"/>
              <w:ind w:left="132"/>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Hallgatói esettanulmányok meghallgatása, megvitatása, értékelése</w:t>
            </w:r>
          </w:p>
          <w:p w:rsidR="00C53713" w:rsidRPr="00C53713" w:rsidRDefault="00C53713" w:rsidP="00C53713">
            <w:pPr>
              <w:spacing w:after="0" w:line="240" w:lineRule="auto"/>
              <w:ind w:left="132"/>
              <w:rPr>
                <w:rFonts w:ascii="Times New Roman" w:eastAsia="Calibri" w:hAnsi="Times New Roman" w:cs="Times New Roman"/>
                <w:i/>
                <w:sz w:val="20"/>
                <w:szCs w:val="20"/>
                <w:lang w:eastAsia="hu-HU"/>
              </w:rPr>
            </w:pPr>
            <w:r w:rsidRPr="00C53713">
              <w:rPr>
                <w:rFonts w:ascii="Times New Roman" w:eastAsia="Calibri" w:hAnsi="Times New Roman" w:cs="Times New Roman"/>
                <w:sz w:val="20"/>
                <w:szCs w:val="20"/>
                <w:lang w:eastAsia="hu-HU"/>
              </w:rPr>
              <w:t>TE: Megismeri, megérti az adott esettanulmányt, képes a vitában részt venni és értékelni</w:t>
            </w:r>
          </w:p>
        </w:tc>
      </w:tr>
    </w:tbl>
    <w:p w:rsidR="00C53713" w:rsidRPr="00C53713" w:rsidRDefault="00C53713" w:rsidP="00C53713">
      <w:pPr>
        <w:spacing w:after="0" w:line="240" w:lineRule="auto"/>
        <w:rPr>
          <w:rFonts w:ascii="Times New Roman" w:eastAsia="Calibri" w:hAnsi="Times New Roman" w:cs="Times New Roman"/>
          <w:sz w:val="20"/>
          <w:szCs w:val="20"/>
          <w:lang w:eastAsia="hu-HU"/>
        </w:rPr>
      </w:pPr>
    </w:p>
    <w:p w:rsidR="00C53713" w:rsidRDefault="00C53713">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Arial Unicode MS" w:hAnsi="Times New Roman" w:cs="Times New Roman"/>
                <w:b/>
                <w:sz w:val="20"/>
                <w:szCs w:val="16"/>
                <w:lang w:eastAsia="hu-HU"/>
              </w:rPr>
              <w:t>Haladó nemzetközi marketing</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Arial Unicode MS" w:hAnsi="Times New Roman" w:cs="Times New Roman"/>
                <w:b/>
                <w:sz w:val="20"/>
                <w:szCs w:val="20"/>
                <w:lang w:eastAsia="hu-HU"/>
              </w:rPr>
              <w:t>GT_MNGN005-17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Advanced International Marketing</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 GTK Marketing és Kereskedelem Intézet, Marketing Tanszék</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Marketing</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alapszakon</w:t>
            </w: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Kiss Marietta</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adjunktus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a hallgatók</w:t>
            </w:r>
          </w:p>
          <w:p w:rsidR="00D35406" w:rsidRPr="00D35406" w:rsidRDefault="00D35406" w:rsidP="009F51A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magas szintű felkészítése a nemzetközi üzleti lehetőségek felismerésére, a marketingdöntések nemzetközi piaci környezetben való megalapozására, előkészítésére és eredményes végrehajtására. Az elméleti ismeretek gyakorlati elmélyülését a szemináriumok keretében megoldott írásbeli és kisfilmes esettanulmányok, egyéni projektmunka, illetve egyéb csoportfeladatok segítik.</w:t>
            </w:r>
          </w:p>
        </w:tc>
      </w:tr>
      <w:tr w:rsidR="009F51A1"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51A1" w:rsidRPr="00D35406" w:rsidRDefault="009F51A1" w:rsidP="009F51A1">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F51A1" w:rsidRPr="00D35406" w:rsidRDefault="009F51A1" w:rsidP="009F51A1">
            <w:pPr>
              <w:spacing w:after="0" w:line="240" w:lineRule="auto"/>
              <w:jc w:val="both"/>
              <w:rPr>
                <w:rFonts w:ascii="Times New Roman" w:eastAsia="Calibri" w:hAnsi="Times New Roman" w:cs="Times New Roman"/>
                <w:b/>
                <w:bCs/>
                <w:sz w:val="20"/>
                <w:szCs w:val="20"/>
                <w:lang w:eastAsia="hu-HU"/>
              </w:rPr>
            </w:pPr>
          </w:p>
          <w:p w:rsidR="009F51A1" w:rsidRPr="00D35406" w:rsidRDefault="009F51A1" w:rsidP="009F51A1">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Érti a gazdálkodó szervezetek marketingtevékenységének szervezését, működését nemzetközi környezetben.</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Birtokában van a nemzetközi marketing területén a problémafelismerés, -megfogalmazás és -megoldás, az információgyűjtés és -feldolgozás korszerű, elméletileg is igényes módszereinek, ismeri azok korlátait is.</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Ismeri és használja a nemzetközi marketing elméleteit és döntési módszereit.</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Ismeri és érti a nemzetközi marketing szakirodalmi eredményeinek feldolgozásához, illetve innovatív gyakorlati munkához szükséges problémamegoldó technikákat.</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Ismeri és érti a nemzetközi marketingfolyamatok beazonosítására alkalmas szakértői tudás alapjait, a szakterület szerint releváns információgyűjtési, elemzési és problémamegoldási módszereket, ezek alkalmazási feltételeit és korlátait.</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köznyelv magas szintű ismerete mellett birtokában van a marketing szaknyelvnek, kifejezési és fogalmazási sajátosságainak.</w:t>
            </w:r>
          </w:p>
          <w:p w:rsidR="009F51A1" w:rsidRPr="00D35406" w:rsidRDefault="009F51A1" w:rsidP="009F51A1">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nemzetközi marketing területén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Gazdálkodó és nonprofit szervezetekben marketingfolyamatokat tervez, irányít, a marketing-erőforrásokkal gazdálkodik.</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a nemzetközi marketing területén szakmailag megalapozott vélemény megfogalmazására, döntések előkészítésére és meghozatalára. Az elemzés és a gyakorlati problémamegoldás során, ha szükséges, interdiszciplináris megközelítést alkalmaz.</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hatékony nemzetközi marketingstratégiák kidolgozására. Képes a nemzetközi üzleti környezet geopolitikai, társadalmi, kulturális és vallási vonatkozásainak elemzésére.</w:t>
            </w:r>
          </w:p>
          <w:p w:rsidR="009F51A1" w:rsidRPr="00D35406" w:rsidRDefault="009F51A1" w:rsidP="009F51A1">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gazdálkodó szervezetben, nemzetközi szervezetekben, kormányzati intézményekben nemzetközi marketingtevékenységet tervezni, szervezni, továbbá ennek során tanult elemeket és módszereket alkalmazni, következtetéseket megfogalmazni, javaslatokat tenni és döntéseket hozni.</w:t>
            </w:r>
          </w:p>
          <w:p w:rsidR="009F51A1" w:rsidRPr="00D35406" w:rsidRDefault="009F51A1" w:rsidP="009F51A1">
            <w:pPr>
              <w:spacing w:after="0" w:line="240" w:lineRule="auto"/>
              <w:ind w:left="416"/>
              <w:rPr>
                <w:rFonts w:ascii="Times New Roman" w:eastAsia="Calibri" w:hAnsi="Times New Roman" w:cs="Times New Roman"/>
                <w:b/>
                <w:bCs/>
                <w:sz w:val="20"/>
                <w:szCs w:val="20"/>
                <w:lang w:eastAsia="hu-HU"/>
              </w:rPr>
            </w:pPr>
            <w:r w:rsidRPr="00D35406">
              <w:rPr>
                <w:rFonts w:ascii="Times New Roman" w:eastAsia="Calibri" w:hAnsi="Times New Roman" w:cs="Times New Roman"/>
                <w:sz w:val="20"/>
                <w:szCs w:val="20"/>
                <w:lang w:eastAsia="hu-HU"/>
              </w:rPr>
              <w:t>- Csoportos feladatmegoldásokban vesz részt, a tevékenységet tervezi, irányítja, szervezi, koordinálja, értékeli.</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Kritikusan viszonyul saját, illetve társai munkájához és magatartásához, innovatív és proaktív magatartást tanúsít a nemzetközimarketing-problémák kezelésében. Kötelességének tartja a hibák kijavítását.</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Nyitott és befogadó a nemzetközimarketing-tudomány és -gyakorlat új eredményei iránt.</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Törekszik tudásának és munkakapcsolatainak fejlesztésére.</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nemzetközi marketing területein önállóan választja ki és alkalmazza a releváns problémamegoldási módszereket, e területeken önállóan lát el elemző, döntés-előkészítő, tanácsadói feladatokat.</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Felelősséget vállal saját munkájáért.</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Kezdeményező a nemzetközimarketing-problémák megoldásában, nemzetközi marketingstratégiák kialakításában.</w:t>
            </w:r>
          </w:p>
          <w:p w:rsidR="00D35406" w:rsidRPr="00D35406" w:rsidRDefault="00D35406" w:rsidP="00D35406">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a következő témaköröket öleli fel: A nemzetközi marketing fogalma, koncepciói; A külpiacra lépés motivátorai és akadályai; Nemzetközi piackutatás; Makro- és mikrokörnyezet-elemzés a nemzetközi marketingben; Nemzetközi piacszegmentáció és célpiacképzés; A külpiacra lépés formái; Nemzetközi termék-, promóciós, ár- és disztribúciós politika.</w:t>
            </w:r>
          </w:p>
          <w:p w:rsidR="00D35406" w:rsidRPr="00D35406" w:rsidRDefault="00D35406" w:rsidP="00D35406">
            <w:pPr>
              <w:spacing w:after="0" w:line="240" w:lineRule="auto"/>
              <w:ind w:right="138"/>
              <w:jc w:val="both"/>
              <w:rPr>
                <w:rFonts w:ascii="Times New Roman" w:eastAsia="Calibri" w:hAnsi="Times New Roman" w:cs="Times New Roman"/>
                <w:sz w:val="20"/>
                <w:szCs w:val="20"/>
                <w:lang w:eastAsia="hu-HU"/>
              </w:rPr>
            </w:pPr>
          </w:p>
        </w:tc>
      </w:tr>
      <w:tr w:rsidR="00D35406" w:rsidRPr="00D35406" w:rsidTr="00D354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Előadások (az előadás diáit a hallgatók tanulás céljából megkapják), tantermi vita, megbeszélés, otthoni felkészülés a kötelező irodalomból, papír alapú és videós esettanulmányok feldolgozása egyénileg és csoportmunkában, órán és házi feladatként, egyéni projektmunka.</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félév </w:t>
            </w:r>
            <w:proofErr w:type="gramStart"/>
            <w:r w:rsidRPr="00D35406">
              <w:rPr>
                <w:rFonts w:ascii="Times New Roman" w:eastAsia="Calibri" w:hAnsi="Times New Roman" w:cs="Times New Roman"/>
                <w:sz w:val="20"/>
                <w:szCs w:val="20"/>
                <w:lang w:eastAsia="hu-HU"/>
              </w:rPr>
              <w:t>során</w:t>
            </w:r>
            <w:proofErr w:type="gramEnd"/>
            <w:r w:rsidRPr="00D35406">
              <w:rPr>
                <w:rFonts w:ascii="Times New Roman" w:eastAsia="Calibri" w:hAnsi="Times New Roman" w:cs="Times New Roman"/>
                <w:sz w:val="20"/>
                <w:szCs w:val="20"/>
                <w:lang w:eastAsia="hu-HU"/>
              </w:rPr>
              <w:t xml:space="preserve"> a szemináriumokon a hallgatók a kiadott feladatokat megoldják, azokról prezentációkat és nyomtatott anyagot készítenek, melyeket az órákon előadnak, beadnak, megvitatnak, értékelnek. A hallgatók egyénileg elkészítenek egy nemzetközi marketingtervet, ami egy létező vagy kitalált termék teljes külpiacra viteli és piacon tartási terve. A marketingtervet a hallgatók egy legalább 15 oldalas házi dolgozat formájában nyomtatva adják be a megadott határidőig. A feladatok, ill. a házi dolgozat későbbi beadása naponta 10%-kal csökkenti, későbbi előadása szemináriumonként 10%-kal csökkenti az egyébként megszerzett pontot. A szemináriumi munka nem pótolható, nem helyettesíthető mással; a házi dolgozat csak egyszer adható be, nincs javítási lehetőség. A házi dolgozatra a diplomadolgozat formai és tartalmi követelményei vonatkoznak. Plágium esetén a házi dolgozatért pont nem jár, 0 pontos házi dolgozat az aláírás megtagadását vonja maga után.</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hallgatók kiselőadást vállalhatnak valamilyen nemzetközi marketing témából (maximum két darabot), melyért darabonként maximum 5 százalékpontot kaphatnak.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szemináriumokon való részvétel kötelező, maximum 3 igazolatlan hiányzás megengedett. A szemináriumok több mint 50%-áról való (igazolt és/vagy igazolatlan) hiányzás és/vagy az órai feladatok végzésétől való távolmaradás az aláírás megtagadásával jár.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félév végi jegy a következőképpen áll össze:</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Órai munka, házi feladatok: 15%</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Házi dolgozat: 15%</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Írásbeli vizsga: 70%</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Valamennyi vizsga (A, B, C) írásbeli. A szemináriumról hozott pontok a B és C vizsgák eredményébe is beszámítanak.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Érdemjegyek: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0–50%</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elégtelen (1)</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51–62%</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elégséges (2)</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63–74%</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közepes (3)</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75–86%</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jó (4)</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87–100%</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jeles (5)</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REKETTYE GÁBOR–TÓTH TAMÁS–MALOTA ERZSÉBET (2015): Nemzetközi marketing. Akadémiai Kiadó, Budapest</w:t>
            </w:r>
          </w:p>
          <w:p w:rsidR="00D35406" w:rsidRPr="00D35406" w:rsidRDefault="00D35406" w:rsidP="009F51A1">
            <w:pPr>
              <w:keepNext/>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ALBAUM, GERALD–DUERR, EDWIN (2008): International Marketing and Export Management. Prentice Hall, 6th Edition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BRADLEY, FRANK (1991): International Marketing Strategy. Prentice Hall, New York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CATEORA, PHILIP R. (1996): International Marketing. 9th ed</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 xml:space="preserve"> Richard D. Irwin, a Times Mirror Higher Education Group, Inc., Chicago</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DELI ZSUZSA (2005): Nemzetközi marketing. Műegyetemi Kiadó,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DANKÓ LÁSZLÓ (1998): Nemzetközi marketing. Pro Marketing Egyesület, Miskolc</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ESZES ZOLTÁN–SZABÓNÉ STREIT MÁRIA–SZÁNTÓ SZILVIA–VERES ZOLTÁN (szerk.) (2001): Globális Marketing. Műszaki Könyvkiadó,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KEEGAN, WARREN J.–GREEN, MARK C. (2013): Global Marketing: Global Edition. Prentice Hall, 7th Edition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MALOTA ERZSÉBET (szerk.) (2015): Marketing nemzetközi színtéren: esettanulmányok hazai és külföldi piacokról. Alinea,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MALOTA ERZSÉBET–KELEMEN KATALIN (szerk.) (2011): Nemzetközi marketing a hazai gyakorlatban. Pearson Custom Publishing,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REKETTYE GÁBOR–FOJTIK JÁNOS (2009): Nemzetközi marketing. Dialóg Campus Kiadó,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TÓTH TAMÁS (2009): Nemzetközi marketing. Akadémiai Kiadó, Budapest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TÖRZSÖK ÉVA (szerk.) (1995): Nemzetközi marketing. Közgazdasági és Jogi Könyvkiadó, Budapest</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Bevezetés, követelmények ismertetése. A nemzetközi marketing fogalma, koncepciói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külpiacra lépés motivátorai és akadályai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betekintést nyernek a nemzetközi kereskedelem okait magyarázó elméletekbe, a külpiacra lépés reaktív és proaktív motivátoraiba, valamint akadályaiba.</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piackutatás</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nemzetközi piackutatás fogalmát, sajátosságait, folyamatát, beleértve a nemzetközi környezetben használható piackutatási módszereket, azok specifikumait.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Makrokörnyezet-elemzés a nemzetközi marketingben 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részletesen megismerkednek a makrokörnyezet kulturális </w:t>
            </w:r>
            <w:proofErr w:type="gramStart"/>
            <w:r w:rsidRPr="00D35406">
              <w:rPr>
                <w:rFonts w:ascii="Times New Roman" w:eastAsia="Calibri" w:hAnsi="Times New Roman" w:cs="Times New Roman"/>
                <w:sz w:val="20"/>
                <w:szCs w:val="20"/>
                <w:lang w:eastAsia="hu-HU"/>
              </w:rPr>
              <w:t>elemével</w:t>
            </w:r>
            <w:proofErr w:type="gramEnd"/>
            <w:r w:rsidRPr="00D35406">
              <w:rPr>
                <w:rFonts w:ascii="Times New Roman" w:eastAsia="Calibri" w:hAnsi="Times New Roman" w:cs="Times New Roman"/>
                <w:sz w:val="20"/>
                <w:szCs w:val="20"/>
                <w:lang w:eastAsia="hu-HU"/>
              </w:rPr>
              <w:t xml:space="preserve"> mint a nemzetközi marketing hangsúlyos részével, bemutatásra kerül számos kultúramodell, az idegen kultúrához való alkalmazkodás kérdésköre, valamint a kultúraelemek és a marketing kapcsolata.</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Makrokörnyezet-elemzés a nemzetközi marketingben II.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makrokörnyezet további elemeit: a gazdasági (beleértve a gazdasági integrációkat), a politikai (beleértve a politikai kockázatokat), a jogi (beleértve a főbb jogrendszerek eltéréseit és néhány „marketing-jogszabályt”), a földrajzi és a technológiai környezetet. Végül tárgyalásra kerül az üzleti távolság fogalma.</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Mikrokörnyezet-elemzés a nemzetközi marketingben</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 </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piacszegmentáció és célpiacképzés</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nemzetközi piacszegmentáció fogalmát, a piacválasztás kérdéseit, stratégiáit, módszereit és lépéseit, a nemzetközi célpiacképzés fogalmát és stratégiáit.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külpiacra lépés formái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termékpolitika 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sztenderdizálás és adaptálás termékpolitikai kérdéseit, a nemzetközi termékpolitikai stratégiákat, beleértve az új termék fejlesztésének stratégiáját is, valamint a nemzetközi termékstratégiák és a piacra lépési módozatok közti összefüggéseket.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termékpolitika II.</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betekintést nyernek a nemzetközi termékszerkezet tervezésének kérdéseibe, valamint egyéb termékpolitikai döntésekbe (nemzetközi termékvonal és időzítés, nemzetközi </w:t>
            </w:r>
            <w:r w:rsidRPr="00D35406">
              <w:rPr>
                <w:rFonts w:ascii="Times New Roman" w:eastAsia="Calibri" w:hAnsi="Times New Roman" w:cs="Times New Roman"/>
                <w:sz w:val="20"/>
                <w:szCs w:val="20"/>
                <w:lang w:eastAsia="hu-HU"/>
              </w:rPr>
              <w:lastRenderedPageBreak/>
              <w:t>minőségpolitika, nemzetközi márkapolitika, nemzetközi csomagolás és címkézés – beleértve az országeredet-hatást, nemzetközi fogyasztói kiszolgálás).</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promóciós politika</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nemzetközi promóciós politika lehetséges céljait, elemeit (nemzetközi reklám, vásárlásösztönzés, PR, személyes eladás), illetve stratégiáját.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árpolitika</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ismerik a nemzetközi árpolitikai célokat, a nemzetközi ármeghatározás módszereit, az alkalmazható árkedvezményeket, felárakat, a globális és lokális árak kérdéskörét, az áreszkaláció jelenségét, a speciális külkereskedelmi ügyletek árképzését, valamint a fizetési eszközöket és módokat.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disztribúciós politika</w:t>
            </w:r>
          </w:p>
        </w:tc>
      </w:tr>
      <w:tr w:rsidR="00D35406" w:rsidRPr="00D35406" w:rsidTr="00D35406">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 kiemelve a szolgáltatók stratégiáit.</w:t>
            </w:r>
          </w:p>
        </w:tc>
      </w:tr>
      <w:tr w:rsidR="00D35406" w:rsidRPr="00D35406" w:rsidTr="00D35406">
        <w:tc>
          <w:tcPr>
            <w:tcW w:w="1529" w:type="dxa"/>
            <w:vMerge w:val="restart"/>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Összefoglalás, ismétlés</w:t>
            </w:r>
          </w:p>
        </w:tc>
      </w:tr>
      <w:tr w:rsidR="00D35406" w:rsidRPr="00D35406" w:rsidTr="00D35406">
        <w:trPr>
          <w:trHeight w:val="70"/>
        </w:trPr>
        <w:tc>
          <w:tcPr>
            <w:tcW w:w="1529" w:type="dxa"/>
            <w:vMerge/>
            <w:shd w:val="clear" w:color="auto" w:fill="auto"/>
          </w:tcPr>
          <w:p w:rsidR="00D35406" w:rsidRPr="00D35406" w:rsidRDefault="00D35406" w:rsidP="00D35406">
            <w:pPr>
              <w:numPr>
                <w:ilvl w:val="0"/>
                <w:numId w:val="9"/>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elmélyítik a félév folyamán tanultakat, választ kapnak az esetleges kérdéseikre.</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C53713" w:rsidRDefault="00C53713">
      <w:pPr>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p w:rsidR="00C53713" w:rsidRPr="00C53713" w:rsidRDefault="00C53713" w:rsidP="00C5371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53713" w:rsidRPr="00C53713" w:rsidTr="00C537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b/>
                <w:sz w:val="20"/>
                <w:szCs w:val="16"/>
                <w:lang w:eastAsia="hu-HU"/>
              </w:rPr>
            </w:pPr>
            <w:r w:rsidRPr="00C53713">
              <w:rPr>
                <w:rFonts w:ascii="Times New Roman" w:eastAsia="Arial Unicode MS" w:hAnsi="Times New Roman" w:cs="Times New Roman"/>
                <w:b/>
                <w:sz w:val="20"/>
                <w:szCs w:val="16"/>
                <w:lang w:eastAsia="hu-HU"/>
              </w:rPr>
              <w:t>Haladó fejlődésgazdaságtan I.</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Arial Unicode MS" w:hAnsi="Times New Roman" w:cs="Times New Roman"/>
                <w:sz w:val="16"/>
                <w:szCs w:val="16"/>
                <w:lang w:eastAsia="hu-HU"/>
              </w:rPr>
            </w:pPr>
            <w:r w:rsidRPr="00C53713">
              <w:rPr>
                <w:rFonts w:ascii="Times New Roman" w:eastAsia="Calibri" w:hAnsi="Times New Roman" w:cs="Times New Roman"/>
                <w:sz w:val="20"/>
                <w:szCs w:val="20"/>
                <w:lang w:eastAsia="hu-HU"/>
              </w:rPr>
              <w:t>Kódja</w:t>
            </w:r>
            <w:r w:rsidRPr="00C5371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b/>
                <w:sz w:val="20"/>
                <w:szCs w:val="20"/>
                <w:lang w:eastAsia="hu-HU"/>
              </w:rPr>
            </w:pPr>
            <w:r w:rsidRPr="00C53713">
              <w:rPr>
                <w:rFonts w:ascii="Times New Roman" w:eastAsia="Calibri" w:hAnsi="Times New Roman" w:cs="Times New Roman"/>
                <w:sz w:val="20"/>
                <w:szCs w:val="20"/>
                <w:lang w:eastAsia="hu-HU"/>
              </w:rPr>
              <w:t>GT_MNGN006-17</w:t>
            </w:r>
          </w:p>
        </w:tc>
      </w:tr>
      <w:tr w:rsidR="00C53713" w:rsidRPr="00C53713" w:rsidTr="00C537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Advanced Development Economics I.</w:t>
            </w: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p>
        </w:tc>
      </w:tr>
      <w:tr w:rsidR="00C53713" w:rsidRPr="00C53713" w:rsidTr="00C537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b/>
                <w:bCs/>
                <w:sz w:val="24"/>
                <w:szCs w:val="24"/>
                <w:lang w:eastAsia="hu-HU"/>
              </w:rPr>
            </w:pPr>
          </w:p>
        </w:tc>
      </w:tr>
      <w:tr w:rsidR="00C53713" w:rsidRPr="00C53713" w:rsidTr="00C537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ind w:left="20"/>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Világgazdasági és Nemzetközi Kapcsolatok Intézet</w:t>
            </w:r>
          </w:p>
        </w:tc>
      </w:tr>
      <w:tr w:rsidR="00C53713" w:rsidRPr="00C53713" w:rsidTr="00C537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Arial Unicode MS" w:hAnsi="Times New Roman" w:cs="Times New Roman"/>
                <w:sz w:val="20"/>
                <w:szCs w:val="20"/>
                <w:lang w:eastAsia="hu-HU"/>
              </w:rPr>
            </w:pPr>
          </w:p>
        </w:tc>
      </w:tr>
      <w:tr w:rsidR="00C53713" w:rsidRPr="00C53713" w:rsidTr="00C537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Oktatás nyelve</w:t>
            </w:r>
          </w:p>
        </w:tc>
      </w:tr>
      <w:tr w:rsidR="00C53713" w:rsidRPr="00C53713" w:rsidTr="00C5371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16"/>
                <w:szCs w:val="16"/>
                <w:lang w:eastAsia="hu-HU"/>
              </w:rPr>
            </w:pPr>
          </w:p>
        </w:tc>
      </w:tr>
      <w:tr w:rsidR="00C53713" w:rsidRPr="00C53713" w:rsidTr="00C537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3</w:t>
            </w:r>
          </w:p>
        </w:tc>
        <w:tc>
          <w:tcPr>
            <w:tcW w:w="850"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magyar</w:t>
            </w:r>
          </w:p>
        </w:tc>
      </w:tr>
      <w:tr w:rsidR="00C53713" w:rsidRPr="00C53713" w:rsidTr="00C537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r w:rsidRPr="00C5371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sz w:val="16"/>
                <w:szCs w:val="16"/>
                <w:lang w:eastAsia="hu-HU"/>
              </w:rPr>
            </w:pPr>
          </w:p>
        </w:tc>
      </w:tr>
      <w:tr w:rsidR="00C53713" w:rsidRPr="00C53713" w:rsidTr="00C537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53713" w:rsidRPr="00C53713" w:rsidRDefault="00C53713" w:rsidP="00C53713">
            <w:pPr>
              <w:spacing w:after="0" w:line="240" w:lineRule="auto"/>
              <w:ind w:left="20"/>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20"/>
                <w:szCs w:val="20"/>
                <w:lang w:eastAsia="hu-HU"/>
              </w:rPr>
            </w:pPr>
            <w:r w:rsidRPr="00C5371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16"/>
                <w:szCs w:val="16"/>
                <w:lang w:eastAsia="hu-HU"/>
              </w:rPr>
            </w:pPr>
            <w:r w:rsidRPr="00C53713">
              <w:rPr>
                <w:rFonts w:ascii="Times New Roman" w:eastAsia="Calibri" w:hAnsi="Times New Roman" w:cs="Times New Roman"/>
                <w:b/>
                <w:sz w:val="16"/>
                <w:szCs w:val="16"/>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Arial Unicode MS" w:hAnsi="Times New Roman" w:cs="Times New Roman"/>
                <w:sz w:val="16"/>
                <w:szCs w:val="16"/>
                <w:lang w:eastAsia="hu-HU"/>
              </w:rPr>
            </w:pPr>
            <w:r w:rsidRPr="00C53713">
              <w:rPr>
                <w:rFonts w:ascii="Times New Roman" w:eastAsia="Calibri" w:hAnsi="Times New Roman" w:cs="Times New Roman"/>
                <w:sz w:val="20"/>
                <w:szCs w:val="20"/>
                <w:lang w:eastAsia="hu-HU"/>
              </w:rPr>
              <w:t>beosztása</w:t>
            </w:r>
            <w:r w:rsidRPr="00C5371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3713" w:rsidRPr="00C53713" w:rsidRDefault="00C53713" w:rsidP="00C53713">
            <w:pPr>
              <w:spacing w:after="0" w:line="240" w:lineRule="auto"/>
              <w:jc w:val="center"/>
              <w:rPr>
                <w:rFonts w:ascii="Times New Roman" w:eastAsia="Calibri" w:hAnsi="Times New Roman" w:cs="Times New Roman"/>
                <w:b/>
                <w:sz w:val="20"/>
                <w:szCs w:val="20"/>
                <w:lang w:eastAsia="hu-HU"/>
              </w:rPr>
            </w:pPr>
            <w:r w:rsidRPr="00C53713">
              <w:rPr>
                <w:rFonts w:ascii="Times New Roman" w:eastAsia="Calibri" w:hAnsi="Times New Roman" w:cs="Times New Roman"/>
                <w:b/>
                <w:sz w:val="20"/>
                <w:szCs w:val="20"/>
                <w:lang w:eastAsia="hu-HU"/>
              </w:rPr>
              <w:t>egyetemi docens</w:t>
            </w:r>
          </w:p>
        </w:tc>
      </w:tr>
      <w:tr w:rsidR="00C53713" w:rsidRPr="00C53713"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b/>
                <w:bCs/>
                <w:sz w:val="20"/>
                <w:szCs w:val="20"/>
                <w:lang w:eastAsia="hu-HU"/>
              </w:rPr>
              <w:t xml:space="preserve">A kurzus célja, </w:t>
            </w:r>
            <w:r w:rsidRPr="00C53713">
              <w:rPr>
                <w:rFonts w:ascii="Times New Roman" w:eastAsia="Calibri" w:hAnsi="Times New Roman" w:cs="Times New Roman"/>
                <w:sz w:val="20"/>
                <w:szCs w:val="20"/>
                <w:lang w:eastAsia="hu-HU"/>
              </w:rPr>
              <w:t>hogy a hallgatók</w:t>
            </w:r>
          </w:p>
          <w:p w:rsidR="00C53713" w:rsidRPr="00C53713" w:rsidRDefault="00C53713"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elmélyüljenek a gazdasági növekedés legfontosabb kérdéseiben. Tanulmányozzuk a gazdasági növekedés és fejlődés legfontosabb meghatározóit, illetve azok hiányát a szegény országokban. Megismerkedünk a legfontosabb elméleti modellekkel, illetve az empirikus elemzések és esettanulmányok szemszögén keresztül is megvizsgáljuk azokat. A kurzus első része a fejlődés jelentésére koncentrál, majd azokkal a belső és külső tényezőkkel foglalkozunk, amelyek ösztönzik vagy hátráltatják a fejlődést, befejezésül néhány speciális témát vizsgálunk meg, mint az oktatás, a környezet valamint a jövedelemeloszlás és a fejlődés kapcsolata. A hallgatók egyéni és csoportos projektmunkája segíti a témában történő elmélyülést.</w:t>
            </w:r>
          </w:p>
        </w:tc>
      </w:tr>
      <w:tr w:rsidR="00905CDA" w:rsidRPr="00C53713" w:rsidTr="00C537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5CDA" w:rsidRPr="00C53713" w:rsidRDefault="00905CDA" w:rsidP="00905CDA">
            <w:pPr>
              <w:spacing w:after="0" w:line="240" w:lineRule="auto"/>
              <w:jc w:val="both"/>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05CDA" w:rsidRPr="00C53713" w:rsidRDefault="00905CDA" w:rsidP="00905CDA">
            <w:pPr>
              <w:spacing w:after="0" w:line="240" w:lineRule="auto"/>
              <w:jc w:val="both"/>
              <w:rPr>
                <w:rFonts w:ascii="Times New Roman" w:eastAsia="Calibri" w:hAnsi="Times New Roman" w:cs="Times New Roman"/>
                <w:b/>
                <w:bCs/>
                <w:sz w:val="20"/>
                <w:szCs w:val="20"/>
                <w:lang w:eastAsia="hu-HU"/>
              </w:rPr>
            </w:pPr>
          </w:p>
          <w:p w:rsidR="00905CDA" w:rsidRPr="00C53713" w:rsidRDefault="00905CDA" w:rsidP="00905CDA">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 xml:space="preserve">Tudás: </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elemzési és problémamegoldási módszereket, ezek alkalmazási feltételeit és korlátait.</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905CDA" w:rsidRPr="00C53713" w:rsidRDefault="00905CDA" w:rsidP="00905CDA">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Képesség:</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Nemzetközi, multikulturális környezetben is képes hatékony munkavégzésre.</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905CDA" w:rsidRPr="00C53713" w:rsidRDefault="00905CDA" w:rsidP="00905CDA">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p w:rsidR="00905CDA" w:rsidRPr="00C53713" w:rsidRDefault="00905CDA" w:rsidP="00C53713">
            <w:pPr>
              <w:spacing w:after="0" w:line="240" w:lineRule="auto"/>
              <w:rPr>
                <w:rFonts w:ascii="Times New Roman" w:eastAsia="Calibri" w:hAnsi="Times New Roman" w:cs="Times New Roman"/>
                <w:b/>
                <w:bCs/>
                <w:sz w:val="20"/>
                <w:szCs w:val="20"/>
                <w:lang w:eastAsia="hu-HU"/>
              </w:rPr>
            </w:pPr>
          </w:p>
        </w:tc>
      </w:tr>
      <w:tr w:rsidR="00C53713" w:rsidRPr="00C53713" w:rsidTr="00C53713">
        <w:trPr>
          <w:cantSplit/>
          <w:trHeight w:val="1400"/>
        </w:trPr>
        <w:tc>
          <w:tcPr>
            <w:tcW w:w="9939" w:type="dxa"/>
            <w:gridSpan w:val="10"/>
            <w:tcBorders>
              <w:top w:val="single" w:sz="4" w:space="0" w:color="auto"/>
              <w:left w:val="single" w:sz="4" w:space="0" w:color="auto"/>
              <w:right w:val="single" w:sz="4" w:space="0" w:color="000000"/>
            </w:tcBorders>
            <w:vAlign w:val="center"/>
          </w:tcPr>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lastRenderedPageBreak/>
              <w:t>Attitűd:</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Nyitott és befogadó a gazdaságtudomány és gyakorlat új eredményei iránt.</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Vállalja és hitelesen képviseli szakmája társadalmi szerepét, alapvető viszonyát a világhoz.</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Elkötelezett az általános társadalmi értékek mellett, szociálisan érzékeny mind hazai, mind nemzetközi viszonylatban.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C53713" w:rsidRPr="00C53713" w:rsidRDefault="00C53713" w:rsidP="00C53713">
            <w:pPr>
              <w:spacing w:after="0" w:line="240" w:lineRule="auto"/>
              <w:ind w:left="402"/>
              <w:jc w:val="both"/>
              <w:rPr>
                <w:rFonts w:ascii="Times New Roman" w:eastAsia="Calibri" w:hAnsi="Times New Roman" w:cs="Times New Roman"/>
                <w:i/>
                <w:sz w:val="20"/>
                <w:szCs w:val="20"/>
                <w:lang w:eastAsia="hu-HU"/>
              </w:rPr>
            </w:pPr>
            <w:r w:rsidRPr="00C53713">
              <w:rPr>
                <w:rFonts w:ascii="Times New Roman" w:eastAsia="Calibri" w:hAnsi="Times New Roman" w:cs="Times New Roman"/>
                <w:i/>
                <w:sz w:val="20"/>
                <w:szCs w:val="20"/>
                <w:lang w:eastAsia="hu-HU"/>
              </w:rPr>
              <w:t>Autonómia és felelősség:</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C53713" w:rsidRPr="00C53713" w:rsidRDefault="00C53713" w:rsidP="00C53713">
            <w:pPr>
              <w:spacing w:after="0" w:line="240" w:lineRule="auto"/>
              <w:ind w:left="720"/>
              <w:rPr>
                <w:rFonts w:ascii="Times New Roman" w:eastAsia="Arial Unicode MS" w:hAnsi="Times New Roman" w:cs="Times New Roman"/>
                <w:b/>
                <w:bCs/>
                <w:sz w:val="20"/>
                <w:szCs w:val="20"/>
                <w:lang w:eastAsia="hu-HU"/>
              </w:rPr>
            </w:pPr>
          </w:p>
        </w:tc>
      </w:tr>
      <w:tr w:rsidR="00C53713" w:rsidRPr="00C53713" w:rsidTr="00C537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A kurzus rövid tartalma, témakörei</w:t>
            </w:r>
          </w:p>
          <w:p w:rsidR="00C53713" w:rsidRPr="00C53713" w:rsidRDefault="00C53713" w:rsidP="00C53713">
            <w:pPr>
              <w:spacing w:after="0" w:line="240" w:lineRule="auto"/>
              <w:jc w:val="both"/>
              <w:rPr>
                <w:rFonts w:ascii="Times New Roman" w:eastAsia="Calibri" w:hAnsi="Times New Roman" w:cs="Times New Roman"/>
                <w:sz w:val="20"/>
                <w:szCs w:val="20"/>
                <w:lang w:eastAsia="hu-HU"/>
              </w:rPr>
            </w:pP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Komparatív gazdasági fejlődés. A gazdasági növekedés és fejlődés klasszikus elméletei. A fejlettség és alulfejlettség legújabb modelljei. Szegénység, egyenlőtlenség és fejlődés. Népességnövekedés és gazdasági fejlődés. Városiasodás és vidékről városba költözés: elmélet és politika. Humántőke: az oktatás és az egészség szerepe a gazdaságfejlődésben. Agrártranszformáció és vidékfejlődés. A környezet és a fejlődés</w:t>
            </w:r>
          </w:p>
          <w:p w:rsidR="00C53713" w:rsidRPr="00C53713" w:rsidRDefault="00C53713" w:rsidP="00C53713">
            <w:pPr>
              <w:spacing w:after="0" w:line="240" w:lineRule="auto"/>
              <w:ind w:right="138"/>
              <w:jc w:val="both"/>
              <w:rPr>
                <w:rFonts w:ascii="Times New Roman" w:eastAsia="Calibri" w:hAnsi="Times New Roman" w:cs="Times New Roman"/>
                <w:sz w:val="20"/>
                <w:szCs w:val="20"/>
                <w:lang w:eastAsia="hu-HU"/>
              </w:rPr>
            </w:pPr>
          </w:p>
        </w:tc>
      </w:tr>
      <w:tr w:rsidR="00C53713" w:rsidRPr="00C53713" w:rsidTr="00346B5E">
        <w:trPr>
          <w:trHeight w:val="774"/>
        </w:trPr>
        <w:tc>
          <w:tcPr>
            <w:tcW w:w="9939" w:type="dxa"/>
            <w:gridSpan w:val="10"/>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Tervezett tanulási tevékenységek, tanítási módszerek</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Interaktív elméleti előadások. A gyakorlatokon esettanulmányok, önálló adatelemzés, ország- és régiótanulmányok készítése, prezentáció.</w:t>
            </w:r>
          </w:p>
          <w:p w:rsidR="00C53713" w:rsidRPr="00C53713" w:rsidRDefault="00C53713" w:rsidP="00C53713">
            <w:pPr>
              <w:spacing w:after="0" w:line="240" w:lineRule="auto"/>
              <w:rPr>
                <w:rFonts w:ascii="Times New Roman" w:eastAsia="Calibri" w:hAnsi="Times New Roman" w:cs="Times New Roman"/>
                <w:sz w:val="20"/>
                <w:szCs w:val="20"/>
                <w:lang w:eastAsia="hu-HU"/>
              </w:rPr>
            </w:pPr>
          </w:p>
        </w:tc>
      </w:tr>
      <w:tr w:rsidR="00C53713" w:rsidRPr="00C53713"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Értékelés</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Csoportos projekt, cikkfeldolgozás, házi feladatok</w:t>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t>40%</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Zárthelyi dolgozat</w:t>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r>
            <w:r w:rsidRPr="00C53713">
              <w:rPr>
                <w:rFonts w:ascii="Times New Roman" w:eastAsia="Calibri" w:hAnsi="Times New Roman" w:cs="Times New Roman"/>
                <w:sz w:val="20"/>
                <w:szCs w:val="20"/>
                <w:lang w:eastAsia="hu-HU"/>
              </w:rPr>
              <w:tab/>
              <w:t>60%</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0-60% elégtelen, 61-70% elégséges, 71-80% közepes, 81-90% jó, 91-110% jeles</w:t>
            </w:r>
          </w:p>
          <w:p w:rsidR="00C53713" w:rsidRPr="00C53713" w:rsidRDefault="00C53713" w:rsidP="00C53713">
            <w:pPr>
              <w:spacing w:after="0" w:line="240" w:lineRule="auto"/>
              <w:rPr>
                <w:rFonts w:ascii="Times New Roman" w:eastAsia="Calibri" w:hAnsi="Times New Roman" w:cs="Times New Roman"/>
                <w:sz w:val="20"/>
                <w:szCs w:val="20"/>
                <w:lang w:eastAsia="hu-HU"/>
              </w:rPr>
            </w:pPr>
          </w:p>
        </w:tc>
      </w:tr>
      <w:tr w:rsidR="00C53713" w:rsidRPr="00C53713" w:rsidTr="00C537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Kötelező szakirodalom:</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Michael P. Todaro—Stephen C. Smith (2020): Economic Development, 13th Edition, Pearson, selected chapters (ISBN 9781292291154)</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Branko Milanovic (2020): Capitalism, Alone: The Future of the System That Rules the World, Harvard University Press (ISBN13 9780674987593)</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félév során kiadott cikkgyűjtemény</w:t>
            </w:r>
          </w:p>
          <w:p w:rsidR="00C53713" w:rsidRPr="00C53713" w:rsidRDefault="00C53713" w:rsidP="00C5371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C53713" w:rsidRPr="00C53713" w:rsidRDefault="00C53713" w:rsidP="00C53713">
            <w:pPr>
              <w:spacing w:after="0" w:line="240" w:lineRule="auto"/>
              <w:rPr>
                <w:rFonts w:ascii="Times New Roman" w:eastAsia="Calibri" w:hAnsi="Times New Roman" w:cs="Times New Roman"/>
                <w:b/>
                <w:bCs/>
                <w:sz w:val="20"/>
                <w:szCs w:val="20"/>
                <w:lang w:eastAsia="hu-HU"/>
              </w:rPr>
            </w:pPr>
            <w:r w:rsidRPr="00C53713">
              <w:rPr>
                <w:rFonts w:ascii="Times New Roman" w:eastAsia="Calibri" w:hAnsi="Times New Roman" w:cs="Times New Roman"/>
                <w:b/>
                <w:bCs/>
                <w:sz w:val="20"/>
                <w:szCs w:val="20"/>
                <w:lang w:eastAsia="hu-HU"/>
              </w:rPr>
              <w:t>Ajánlott szakirodalom:</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Abhijit V. Banerjee—Esther Duflo (2011): Poor Economics, A Radical Rethinking of the Way to Fight Global Poverty and the Ways to End It, Random House India</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David N. Weil (2013): Economic Growth, 3rd Edition, International Edition, Pearson</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James M. Cypher – James L. Dietz: The Process of Economic Development, Routledge</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E. Wayne Nafziger: Economic Development, Cambridge University Press</w:t>
            </w:r>
          </w:p>
          <w:p w:rsidR="00C53713" w:rsidRPr="00C53713" w:rsidRDefault="00C53713" w:rsidP="00C5371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Hans Rosling, Anna Rosling Rönnlund, Ola Rosling (2018): Factfulness: Ten Reasons We're Wrong About the World--and Why Things Are Better Than You Think, Flatiron Books, ISBN 9781250123817</w:t>
            </w:r>
          </w:p>
        </w:tc>
      </w:tr>
    </w:tbl>
    <w:p w:rsidR="00C53713" w:rsidRDefault="00C53713" w:rsidP="00C53713">
      <w:pPr>
        <w:spacing w:after="0" w:line="240" w:lineRule="auto"/>
        <w:rPr>
          <w:rFonts w:ascii="Times New Roman" w:eastAsia="Calibri" w:hAnsi="Times New Roman" w:cs="Times New Roman"/>
          <w:sz w:val="20"/>
          <w:szCs w:val="20"/>
          <w:lang w:eastAsia="hu-HU"/>
        </w:rPr>
      </w:pPr>
    </w:p>
    <w:p w:rsidR="00905CDA" w:rsidRDefault="00905CDA" w:rsidP="00C53713">
      <w:pPr>
        <w:spacing w:after="0" w:line="240" w:lineRule="auto"/>
        <w:rPr>
          <w:rFonts w:ascii="Times New Roman" w:eastAsia="Calibri" w:hAnsi="Times New Roman" w:cs="Times New Roman"/>
          <w:sz w:val="20"/>
          <w:szCs w:val="20"/>
          <w:lang w:eastAsia="hu-HU"/>
        </w:rPr>
      </w:pPr>
    </w:p>
    <w:p w:rsidR="00905CDA" w:rsidRDefault="00905CDA" w:rsidP="00C53713">
      <w:pPr>
        <w:spacing w:after="0" w:line="240" w:lineRule="auto"/>
        <w:rPr>
          <w:rFonts w:ascii="Times New Roman" w:eastAsia="Calibri" w:hAnsi="Times New Roman" w:cs="Times New Roman"/>
          <w:sz w:val="20"/>
          <w:szCs w:val="20"/>
          <w:lang w:eastAsia="hu-HU"/>
        </w:rPr>
      </w:pPr>
    </w:p>
    <w:p w:rsidR="00905CDA" w:rsidRPr="00C53713" w:rsidRDefault="00905CDA" w:rsidP="00C5371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C53713" w:rsidRPr="00C53713" w:rsidTr="00D35406">
        <w:tc>
          <w:tcPr>
            <w:tcW w:w="9024" w:type="dxa"/>
            <w:gridSpan w:val="2"/>
            <w:shd w:val="clear" w:color="auto" w:fill="auto"/>
          </w:tcPr>
          <w:p w:rsidR="00C53713" w:rsidRPr="00C53713" w:rsidRDefault="00C53713" w:rsidP="00905CDA">
            <w:pPr>
              <w:keepNext/>
              <w:spacing w:after="0" w:line="240" w:lineRule="auto"/>
              <w:jc w:val="center"/>
              <w:rPr>
                <w:rFonts w:ascii="Times New Roman" w:eastAsia="Calibri" w:hAnsi="Times New Roman" w:cs="Times New Roman"/>
                <w:sz w:val="28"/>
                <w:szCs w:val="28"/>
                <w:lang w:eastAsia="hu-HU"/>
              </w:rPr>
            </w:pPr>
            <w:r w:rsidRPr="00C53713">
              <w:rPr>
                <w:rFonts w:ascii="Times New Roman" w:eastAsia="Calibri" w:hAnsi="Times New Roman" w:cs="Times New Roman"/>
                <w:sz w:val="28"/>
                <w:szCs w:val="28"/>
                <w:lang w:eastAsia="hu-HU"/>
              </w:rPr>
              <w:lastRenderedPageBreak/>
              <w:t>Heti bontott tematika</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905CDA">
            <w:pPr>
              <w:keepNext/>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fejlődésgazdaságtan tárgyköre, alapvető kérdései – globális perspektívában</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905CDA">
            <w:pPr>
              <w:keepNext/>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Hogyan él a világ másik fele? A közgazdaságtan és a fejlődésgazdaságtan. Mit értünk fejlődés alatt. A millenniumi és a fenntartható fejlődési célok.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Komparatív gazdasági fejlődés</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fejlődő országok közös jellemzői. A fejlődő világ meghatározása. A fejlődés alapvető mutatói: reáljövedelem, egészség és oktatás. Az életszínvonal és a képességek holisztikus mérése. A fejlődő világ jellemzői: sokféleség az egységben. Konvergencia és divergencia.</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gazdasági növekedés és fejlődés klasszikus elméletei</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lineáris növekedési modell. A strukturális átalakulás elméletei és mintázatai. A nemzetközi-függőségi forradalom. A neoklasszikus szabadpiaci ellenforradalom.</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fejlettség és alulfejlettség legújabb modelljei</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TE: Solow-n túl, a növekedés új megközelítései. Az </w:t>
            </w:r>
            <w:proofErr w:type="gramStart"/>
            <w:r w:rsidRPr="00C53713">
              <w:rPr>
                <w:rFonts w:ascii="Times New Roman" w:eastAsia="Calibri" w:hAnsi="Times New Roman" w:cs="Times New Roman"/>
                <w:sz w:val="20"/>
                <w:szCs w:val="20"/>
                <w:lang w:eastAsia="hu-HU"/>
              </w:rPr>
              <w:t>alufejlettség</w:t>
            </w:r>
            <w:proofErr w:type="gramEnd"/>
            <w:r w:rsidRPr="00C53713">
              <w:rPr>
                <w:rFonts w:ascii="Times New Roman" w:eastAsia="Calibri" w:hAnsi="Times New Roman" w:cs="Times New Roman"/>
                <w:sz w:val="20"/>
                <w:szCs w:val="20"/>
                <w:lang w:eastAsia="hu-HU"/>
              </w:rPr>
              <w:t xml:space="preserve"> mint koordinációs kudarc. Többszörös egyensúlyi helyzetek. A Big Push. Kremer O-gyűrű elmélete. A gazdasági </w:t>
            </w:r>
            <w:proofErr w:type="gramStart"/>
            <w:r w:rsidRPr="00C53713">
              <w:rPr>
                <w:rFonts w:ascii="Times New Roman" w:eastAsia="Calibri" w:hAnsi="Times New Roman" w:cs="Times New Roman"/>
                <w:sz w:val="20"/>
                <w:szCs w:val="20"/>
                <w:lang w:eastAsia="hu-HU"/>
              </w:rPr>
              <w:t>növekedés</w:t>
            </w:r>
            <w:proofErr w:type="gramEnd"/>
            <w:r w:rsidRPr="00C53713">
              <w:rPr>
                <w:rFonts w:ascii="Times New Roman" w:eastAsia="Calibri" w:hAnsi="Times New Roman" w:cs="Times New Roman"/>
                <w:sz w:val="20"/>
                <w:szCs w:val="20"/>
                <w:lang w:eastAsia="hu-HU"/>
              </w:rPr>
              <w:t xml:space="preserve"> mint önfelfedezés. A Hausmann-Rodrik-Velasco-féle növekedésdiagnosztikai keretrendszer.</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Szegénység, egyenlőtlenség és fejlődés</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Elosztás és fejlődés: kritikus kérdések. Az egyenlőtlenség és a szegénység mérése. Szegénység, egyenlőtlenség és társadalmi jólét. Abszolút szegénység. A mély szegénységű csoportok gazdasági jellemzői. Beavatkozási lehetőségek.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Népességnövekedés és gazdasági fejlődés</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Népességnövekedés és életminőség: múlt, jelen és jövő. A demográfiai átmenet. A családnagyság mikroökonómiai modellje. Beavatkozási lehetőségek.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Városiasodás és vidékről városba költözés: elmélet és politika</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migrációs és urbanizációs dilemma. A városok szerepe. Az óriásvárosi koncentráció problémája. A városi informális szektor. Migrációs és fejlődés. A vidékről városba költözés gazdasági elmélete. Beavatkozási lehetőségek.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Humántőke: az oktatás és az egészség szerepe a gazdaságfejlődésben</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Az oktatás és az egészség központi szerepe. Az emberi tőke megközelítés. Gyermekmunka. Nemek közötti rés. Az oktatási rendszerek és a fejlődés. Az egészség mérése és eloszlása. A betegségek terhei. Egészség, termelékenység és politika.</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Mezőgazdasági átalakulás és vidékfejlesztés</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mezőgazdasági átalakulás és a vidékfejlesztés imperativusza. A mezőgazdasági növekedés: eddigi fejlődés és új kihívások. A fejlődő világ mezőgazdasági rendszerei. A nők szerepe. A gazdálkodói viselkedés és a mezőgazdasági fejlődés mikroökonómiai modellje. Beavatkozási lehetőségek.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környezet és a fejlődés</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környezet és a fejlődés: alapvető összefüggések. Globális felmelegedés és klímaváltozás. A környezeti kérdések gazdasági modelljei. Az urbanizáció és a környezet. Az esőerdők kiírtásának lokális és globális következményei. Beavatkozási lehetőségek.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A fejlesztéspolitikai döntéshozatal és a piacok, az állam és a civil társadalom szerepe.</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 xml:space="preserve">TE: Az egyensúly kérdése. Gazdaságtervezés: misztikum és realitás. A fejlesztéspolitikai tervezés: néhány alapvető módszer. Kormányzati kudarcok. A piacgazdaság és a fejlődés. A Washington </w:t>
            </w:r>
            <w:proofErr w:type="gramStart"/>
            <w:r w:rsidRPr="00C53713">
              <w:rPr>
                <w:rFonts w:ascii="Times New Roman" w:eastAsia="Calibri" w:hAnsi="Times New Roman" w:cs="Times New Roman"/>
                <w:sz w:val="20"/>
                <w:szCs w:val="20"/>
                <w:lang w:eastAsia="hu-HU"/>
              </w:rPr>
              <w:t>konszenzus</w:t>
            </w:r>
            <w:proofErr w:type="gramEnd"/>
            <w:r w:rsidRPr="00C53713">
              <w:rPr>
                <w:rFonts w:ascii="Times New Roman" w:eastAsia="Calibri" w:hAnsi="Times New Roman" w:cs="Times New Roman"/>
                <w:sz w:val="20"/>
                <w:szCs w:val="20"/>
                <w:lang w:eastAsia="hu-HU"/>
              </w:rPr>
              <w:t xml:space="preserve"> és ami utána van. Az NGO-k szerepe. Kormányzati trendek és reformok.</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Átfogó esettanulmány és prezentáció I.</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önálló esetfeldolgozás és prezentáció</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Átfogó esettanulmány és prezentáció II.</w:t>
            </w:r>
          </w:p>
        </w:tc>
      </w:tr>
      <w:tr w:rsidR="00C53713" w:rsidRPr="00C53713" w:rsidTr="00D35406">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önálló esetfeldolgozás és prezentáció</w:t>
            </w:r>
          </w:p>
        </w:tc>
      </w:tr>
      <w:tr w:rsidR="00C53713" w:rsidRPr="00C53713" w:rsidTr="00D35406">
        <w:tc>
          <w:tcPr>
            <w:tcW w:w="1486" w:type="dxa"/>
            <w:vMerge w:val="restart"/>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Szintézis</w:t>
            </w:r>
          </w:p>
        </w:tc>
      </w:tr>
      <w:tr w:rsidR="00C53713" w:rsidRPr="00C53713" w:rsidTr="00D35406">
        <w:trPr>
          <w:trHeight w:val="70"/>
        </w:trPr>
        <w:tc>
          <w:tcPr>
            <w:tcW w:w="1486" w:type="dxa"/>
            <w:vMerge/>
            <w:shd w:val="clear" w:color="auto" w:fill="auto"/>
          </w:tcPr>
          <w:p w:rsidR="00C53713" w:rsidRPr="00C53713" w:rsidRDefault="00C53713" w:rsidP="00C53713">
            <w:pPr>
              <w:numPr>
                <w:ilvl w:val="0"/>
                <w:numId w:val="8"/>
              </w:numPr>
              <w:spacing w:after="0" w:line="240" w:lineRule="auto"/>
              <w:rPr>
                <w:rFonts w:ascii="Times New Roman" w:eastAsia="Calibri" w:hAnsi="Times New Roman" w:cs="Times New Roman"/>
                <w:sz w:val="20"/>
                <w:szCs w:val="20"/>
                <w:lang w:eastAsia="hu-HU"/>
              </w:rPr>
            </w:pPr>
          </w:p>
        </w:tc>
        <w:tc>
          <w:tcPr>
            <w:tcW w:w="7538" w:type="dxa"/>
            <w:shd w:val="clear" w:color="auto" w:fill="auto"/>
          </w:tcPr>
          <w:p w:rsidR="00C53713" w:rsidRPr="00C53713" w:rsidRDefault="00C53713" w:rsidP="00C53713">
            <w:pPr>
              <w:spacing w:after="0" w:line="240" w:lineRule="auto"/>
              <w:jc w:val="both"/>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A félév során tanultak összefoglalása</w:t>
            </w:r>
          </w:p>
        </w:tc>
      </w:tr>
    </w:tbl>
    <w:p w:rsidR="00C53713" w:rsidRPr="00C53713" w:rsidRDefault="00C53713" w:rsidP="00C53713">
      <w:pPr>
        <w:spacing w:after="0" w:line="240" w:lineRule="auto"/>
        <w:rPr>
          <w:rFonts w:ascii="Times New Roman" w:eastAsia="Calibri" w:hAnsi="Times New Roman" w:cs="Times New Roman"/>
          <w:sz w:val="20"/>
          <w:szCs w:val="20"/>
          <w:lang w:eastAsia="hu-HU"/>
        </w:rPr>
      </w:pPr>
      <w:r w:rsidRPr="00C53713">
        <w:rPr>
          <w:rFonts w:ascii="Times New Roman" w:eastAsia="Calibri" w:hAnsi="Times New Roman" w:cs="Times New Roman"/>
          <w:sz w:val="20"/>
          <w:szCs w:val="20"/>
          <w:lang w:eastAsia="hu-HU"/>
        </w:rPr>
        <w:t>*TE tanulási eredmények</w:t>
      </w:r>
    </w:p>
    <w:p w:rsidR="00C53713" w:rsidRDefault="00C53713">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Arial Unicode MS" w:hAnsi="Times New Roman" w:cs="Times New Roman"/>
                <w:b/>
                <w:sz w:val="20"/>
                <w:szCs w:val="16"/>
                <w:lang w:eastAsia="hu-HU"/>
              </w:rPr>
              <w:t>Nemzetközi gazdaságpolitikák</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16"/>
                <w:lang w:eastAsia="hu-HU"/>
              </w:rPr>
            </w:pPr>
            <w:r w:rsidRPr="00D35406">
              <w:rPr>
                <w:rFonts w:ascii="Times New Roman" w:eastAsia="Arial Unicode MS" w:hAnsi="Times New Roman" w:cs="Times New Roman"/>
                <w:sz w:val="20"/>
                <w:szCs w:val="16"/>
                <w:lang w:eastAsia="hu-HU"/>
              </w:rPr>
              <w:t>GT_MNGN008-17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International Economic Policy</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r w:rsidRPr="00D35406">
              <w:rPr>
                <w:rFonts w:ascii="Times New Roman" w:eastAsia="Calibri" w:hAnsi="Times New Roman" w:cs="Times New Roman"/>
                <w:b/>
                <w:bCs/>
                <w:sz w:val="24"/>
                <w:szCs w:val="24"/>
                <w:lang w:eastAsia="hu-HU"/>
              </w:rPr>
              <w:t>2020/2021. tanév 2. félév</w:t>
            </w: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Debreceni Egyetem Gazdaságtudományi Kar Közgazdaságtan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3</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egyetemi 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 a hallgatók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megismerkedjenek a gazdaságpolitika alapösszefüggéseivel és alapvető dilemmáival, az országok illetve gazdasági rendszerek összehasonlításával feltárható intézményi és gazdaságpolitikai különbségekkel, a tipikus intézményi-gazdaságpolitikai berendezkedések fő jellegzetességeivel. A kurzus során a hallgatók megszerezhetik az ahhoz szükséges tudást, hogy összehasonlító módszerrel képesek legyenek a makroökonómia, a nemzetközi gazdaságtan, a gazdaságpolitika elméleti összefüggéseinek alkalmazására, esettanulmányok elemzésére, a következtetések általánosítására és a tapasztalatok összegzésére.</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Elsajátította a gazdaságtudomány, illetve gazdaság mikro és makro szerveződési szintjeinek fogalmait, elméleteit, folyamatait és jellemzőit, ismeri a meghatározó gazdasági tényeket.</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Szakmai munkája során a kíváncsiság, a tények és összefüggések megismerésének vágya hajtja.</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első része a gazdaságpolitika közgazdasági elemzésének néhány klasszikus kérdésével foglalkozik: a jóléti közgazdaságtani és a politikai gazdaságtani megközelítés különbségeivel, a fiskális és a monetáris politikáról való gondolkodás néhány meghatározó modelljével. A második rész egyrészt bevezeti az összehasonlító közgazdaságtani nézőpontot és tárgyalja az intézmények jelentőségét. Majd mindezek alkalmazásaként kerül sor a kínai átalakulás, az eurózóna problémának, 2007-2008-as pénzügyi válság történéseinek és a posztszocialista átalakulás folyamatának elemzésére.</w:t>
            </w:r>
          </w:p>
          <w:p w:rsidR="00D35406" w:rsidRPr="00D35406" w:rsidRDefault="00D35406" w:rsidP="00D35406">
            <w:pPr>
              <w:spacing w:after="0" w:line="240" w:lineRule="auto"/>
              <w:ind w:right="138"/>
              <w:jc w:val="both"/>
              <w:rPr>
                <w:rFonts w:ascii="Times New Roman" w:eastAsia="Calibri" w:hAnsi="Times New Roman" w:cs="Times New Roman"/>
                <w:sz w:val="20"/>
                <w:szCs w:val="20"/>
                <w:lang w:eastAsia="hu-HU"/>
              </w:rPr>
            </w:pPr>
          </w:p>
        </w:tc>
      </w:tr>
      <w:tr w:rsidR="00D35406" w:rsidRPr="00D35406" w:rsidTr="00D354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Előadás diasorral kiegészítve, tanulmányok feldolgozása </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346B5E">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félév teljesítésének nincs feltétele. A szemináriumokon a kijelölt cikkek megvitatása zajlik, amelyekről a hallgatóknak 2-3 fős csoportokban maximum egyoldalas összefoglalót kell írniuk. Az összefoglalókat a szeminárium elején személyes, papíron kell átadni az oktatónak. Emailben nem lehet összefoglalókat küldeni.</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vizsga írásbeli. </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írásbeli vizsgán elért eredmény adja a kollokviumi jegyet az alábbiak szerint:</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0 - 50% – elégtelen</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50,01% - 64% – elégséges</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64,01% - 76% – közepes</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76,01% - 87% – jó</w:t>
            </w:r>
          </w:p>
          <w:p w:rsidR="00D35406" w:rsidRPr="00D35406" w:rsidRDefault="00346B5E" w:rsidP="00346B5E">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87,01% - 100% – jeles</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Kötelező szakirodalom:</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Bara Z. – Szabó K. (2007): Összehasonlító közgazdaságtan. Gazdasági rendszerek, országok, intézmények. Budapest: Aula Kiadó. (A kijelölt fejezetek).</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Benczes I. – Kutasi G. (2010): Költségvetési pénzügyek. Budapest: Akadémiai Kiadó.</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Czeglédi P. (2020): Közösségi döntések elmélete. Kézirat</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Gorton, G. – Metrcik, A. (2012): The Financial Crisis of 2007-2009. In: Parker, R. – Whaples, R. (eds.): The Handbook of Major Events in Economic History, Routledge, forthcoming.</w:t>
            </w:r>
            <w:hyperlink r:id="rId17" w:history="1">
              <w:r w:rsidRPr="00D35406">
                <w:rPr>
                  <w:rFonts w:ascii="Times New Roman" w:eastAsia="Calibri" w:hAnsi="Times New Roman" w:cs="Times New Roman"/>
                  <w:sz w:val="20"/>
                  <w:szCs w:val="20"/>
                  <w:lang w:eastAsia="hu-HU"/>
                </w:rPr>
                <w:t>link</w:t>
              </w:r>
            </w:hyperlink>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Király J. (2009): A tornádó és a hurrikán – a 2007. év válságos hatásai. In: Muraközy L. (szerk.) A jelen a jövő múltja. Budapest: Akadémiai Kiadó. 295-332. o.</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Stiglitz, J. E. (2000): A kormányzati szektor gazdaságtana. KJK-KERSZÖV Jogi és Üzleti Kiadó Kft., Budapest.</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Szabó K. (2007): Összehasonlító közgazdaságtan. Budapest: Aula Kiadó. (A kijelölt fejezet).</w:t>
            </w:r>
          </w:p>
          <w:p w:rsidR="00D35406" w:rsidRPr="00D35406" w:rsidRDefault="00D35406" w:rsidP="00D35406">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Williamson, S. D. (2009): Makroökonómia. Osiris, Budapest. (A kijelölt fejezetek)</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Háttéranyag az 5</w:t>
            </w:r>
            <w:proofErr w:type="gramStart"/>
            <w:r w:rsidRPr="00D35406">
              <w:rPr>
                <w:rFonts w:ascii="Times New Roman" w:eastAsia="Calibri" w:hAnsi="Times New Roman" w:cs="Times New Roman"/>
                <w:i/>
                <w:sz w:val="20"/>
                <w:szCs w:val="20"/>
                <w:lang w:eastAsia="hu-HU"/>
              </w:rPr>
              <w:t>.,</w:t>
            </w:r>
            <w:proofErr w:type="gramEnd"/>
            <w:r w:rsidRPr="00D35406">
              <w:rPr>
                <w:rFonts w:ascii="Times New Roman" w:eastAsia="Calibri" w:hAnsi="Times New Roman" w:cs="Times New Roman"/>
                <w:i/>
                <w:sz w:val="20"/>
                <w:szCs w:val="20"/>
                <w:lang w:eastAsia="hu-HU"/>
              </w:rPr>
              <w:t xml:space="preserve"> illetve 11-12. előadásokhoz: </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Blankart, Ch. B. (2013), Oil and Vinegar: A Positive Fiscal Theory of the Euro. Kyklos, </w:t>
            </w:r>
            <w:proofErr w:type="gramStart"/>
            <w:r w:rsidRPr="00D35406">
              <w:rPr>
                <w:rFonts w:ascii="Times New Roman" w:eastAsia="Calibri" w:hAnsi="Times New Roman" w:cs="Times New Roman"/>
                <w:sz w:val="20"/>
                <w:szCs w:val="20"/>
                <w:lang w:eastAsia="hu-HU"/>
              </w:rPr>
              <w:t>66(</w:t>
            </w:r>
            <w:proofErr w:type="gramEnd"/>
            <w:r w:rsidRPr="00D35406">
              <w:rPr>
                <w:rFonts w:ascii="Times New Roman" w:eastAsia="Calibri" w:hAnsi="Times New Roman" w:cs="Times New Roman"/>
                <w:sz w:val="20"/>
                <w:szCs w:val="20"/>
                <w:lang w:eastAsia="hu-HU"/>
              </w:rPr>
              <w:t>4), 497-528.</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Bergh, A. (2008): A Race to the Bottom for the Welfare States? In: Bergh, A. – Höijer, R. (eds.): Institutional Competition. Cheltenham: Edward Elgar. 182-201.</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Curzon-Price, V. (2008): Fiscal Competition and the Optimiaztion of Tax Revenues for Higher Growth. In: Bergh, A. – Höijer, R. (eds.): Institutional Competition. Cheltenham: Edward Elgar. 154-181.</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De Grauwe, P. (2013): The Political Economy of the Euro. Annual Review of Political Science, 16, 153-170.</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Djankov, S. – Glaeser, E – </w:t>
            </w:r>
            <w:proofErr w:type="gramStart"/>
            <w:r w:rsidRPr="00D35406">
              <w:rPr>
                <w:rFonts w:ascii="Times New Roman" w:eastAsia="Calibri" w:hAnsi="Times New Roman" w:cs="Times New Roman"/>
                <w:sz w:val="20"/>
                <w:szCs w:val="20"/>
                <w:lang w:eastAsia="hu-HU"/>
              </w:rPr>
              <w:t>La</w:t>
            </w:r>
            <w:proofErr w:type="gramEnd"/>
            <w:r w:rsidRPr="00D35406">
              <w:rPr>
                <w:rFonts w:ascii="Times New Roman" w:eastAsia="Calibri" w:hAnsi="Times New Roman" w:cs="Times New Roman"/>
                <w:sz w:val="20"/>
                <w:szCs w:val="20"/>
                <w:lang w:eastAsia="hu-HU"/>
              </w:rPr>
              <w:t xml:space="preserve"> Porta, R. – Lopez-de-Silanes, F. – Shleifer, A. (2003): The New Comparative Economics. Journal of Comparative Economics, </w:t>
            </w:r>
            <w:proofErr w:type="gramStart"/>
            <w:r w:rsidRPr="00D35406">
              <w:rPr>
                <w:rFonts w:ascii="Times New Roman" w:eastAsia="Calibri" w:hAnsi="Times New Roman" w:cs="Times New Roman"/>
                <w:sz w:val="20"/>
                <w:szCs w:val="20"/>
                <w:lang w:eastAsia="hu-HU"/>
              </w:rPr>
              <w:t>31(</w:t>
            </w:r>
            <w:proofErr w:type="gramEnd"/>
            <w:r w:rsidRPr="00D35406">
              <w:rPr>
                <w:rFonts w:ascii="Times New Roman" w:eastAsia="Calibri" w:hAnsi="Times New Roman" w:cs="Times New Roman"/>
                <w:sz w:val="20"/>
                <w:szCs w:val="20"/>
                <w:lang w:eastAsia="hu-HU"/>
              </w:rPr>
              <w:t>4). 595-619.</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Höijer, R. (2008): Tax Competition and Tax Cartels. In: Bergh, A. – Höijer, R. (eds.): Institutional Competition. Cheltenham: Edward Elgar. 129-154.</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Selgin, G. (2012): Incredible commitments: Why the EMU Is Destroying Both Europe and Itself. Cato Journal, </w:t>
            </w:r>
            <w:proofErr w:type="gramStart"/>
            <w:r w:rsidRPr="00D35406">
              <w:rPr>
                <w:rFonts w:ascii="Times New Roman" w:eastAsia="Calibri" w:hAnsi="Times New Roman" w:cs="Times New Roman"/>
                <w:sz w:val="20"/>
                <w:szCs w:val="20"/>
                <w:lang w:eastAsia="hu-HU"/>
              </w:rPr>
              <w:t>33(</w:t>
            </w:r>
            <w:proofErr w:type="gramEnd"/>
            <w:r w:rsidRPr="00D35406">
              <w:rPr>
                <w:rFonts w:ascii="Times New Roman" w:eastAsia="Calibri" w:hAnsi="Times New Roman" w:cs="Times New Roman"/>
                <w:sz w:val="20"/>
                <w:szCs w:val="20"/>
                <w:lang w:eastAsia="hu-HU"/>
              </w:rPr>
              <w:t xml:space="preserve">1), 143-154. </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Vaubel, R. (2004): The Future of The Euro: A Public Choice Approach. Cato Journal, </w:t>
            </w:r>
            <w:proofErr w:type="gramStart"/>
            <w:r w:rsidRPr="00D35406">
              <w:rPr>
                <w:rFonts w:ascii="Times New Roman" w:eastAsia="Calibri" w:hAnsi="Times New Roman" w:cs="Times New Roman"/>
                <w:sz w:val="20"/>
                <w:szCs w:val="20"/>
                <w:lang w:eastAsia="hu-HU"/>
              </w:rPr>
              <w:t>24(</w:t>
            </w:r>
            <w:proofErr w:type="gramEnd"/>
            <w:r w:rsidRPr="00D35406">
              <w:rPr>
                <w:rFonts w:ascii="Times New Roman" w:eastAsia="Calibri" w:hAnsi="Times New Roman" w:cs="Times New Roman"/>
                <w:sz w:val="20"/>
                <w:szCs w:val="20"/>
                <w:lang w:eastAsia="hu-HU"/>
              </w:rPr>
              <w:t>1–2), 151-161.</w:t>
            </w:r>
          </w:p>
          <w:p w:rsidR="00D35406" w:rsidRPr="00D35406" w:rsidRDefault="00D35406" w:rsidP="00D35406">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after="0" w:line="240" w:lineRule="auto"/>
              <w:ind w:left="420" w:right="113"/>
              <w:jc w:val="both"/>
              <w:rPr>
                <w:rFonts w:ascii="Times New Roman" w:eastAsia="Calibri" w:hAnsi="Times New Roman" w:cs="Times New Roman"/>
                <w:i/>
                <w:sz w:val="20"/>
                <w:szCs w:val="20"/>
                <w:lang w:val="en-US" w:eastAsia="hu-HU"/>
              </w:rPr>
            </w:pPr>
            <w:r w:rsidRPr="00D35406">
              <w:rPr>
                <w:rFonts w:ascii="Times New Roman" w:eastAsia="Calibri" w:hAnsi="Times New Roman" w:cs="Times New Roman"/>
                <w:i/>
                <w:sz w:val="20"/>
                <w:szCs w:val="20"/>
                <w:lang w:eastAsia="hu-HU"/>
              </w:rPr>
              <w:t>Feldolgozandó irodalom:</w:t>
            </w:r>
            <w:r w:rsidRPr="00D35406">
              <w:rPr>
                <w:rFonts w:ascii="Times New Roman" w:eastAsia="Calibri" w:hAnsi="Times New Roman" w:cs="Times New Roman"/>
                <w:i/>
                <w:sz w:val="20"/>
                <w:szCs w:val="20"/>
                <w:lang w:val="en-US" w:eastAsia="hu-HU"/>
              </w:rPr>
              <w:t xml:space="preserve"> </w:t>
            </w:r>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Alchian A. A. (2008): Property Rights. In: Henderson, D. R. (ed.)</w:t>
            </w:r>
            <w:proofErr w:type="gramStart"/>
            <w:r w:rsidRPr="00D35406">
              <w:rPr>
                <w:rFonts w:ascii="Times New Roman" w:eastAsia="Calibri" w:hAnsi="Times New Roman" w:cs="Times New Roman"/>
                <w:sz w:val="20"/>
                <w:szCs w:val="20"/>
                <w:lang w:val="en-US" w:eastAsia="hu-HU"/>
              </w:rPr>
              <w:t>:The</w:t>
            </w:r>
            <w:proofErr w:type="gramEnd"/>
            <w:r w:rsidRPr="00D35406">
              <w:rPr>
                <w:rFonts w:ascii="Times New Roman" w:eastAsia="Calibri" w:hAnsi="Times New Roman" w:cs="Times New Roman"/>
                <w:sz w:val="20"/>
                <w:szCs w:val="20"/>
                <w:lang w:val="en-US" w:eastAsia="hu-HU"/>
              </w:rPr>
              <w:t xml:space="preserve"> Concise Encyclopedia of Economics. Liberty Fund, Inc. Library of Economics and Liberty. </w:t>
            </w:r>
            <w:hyperlink r:id="rId18" w:history="1">
              <w:r w:rsidRPr="00D35406">
                <w:rPr>
                  <w:rFonts w:ascii="Times New Roman" w:eastAsia="Calibri" w:hAnsi="Times New Roman" w:cs="Times New Roman"/>
                  <w:color w:val="0000FF"/>
                  <w:sz w:val="20"/>
                  <w:szCs w:val="20"/>
                  <w:u w:val="single"/>
                  <w:lang w:val="en-US"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Alesina, A. Tabellini, G., Trebbi, </w:t>
            </w:r>
            <w:proofErr w:type="gramStart"/>
            <w:r w:rsidRPr="00D35406">
              <w:rPr>
                <w:rFonts w:ascii="Times New Roman" w:eastAsia="Calibri" w:hAnsi="Times New Roman" w:cs="Times New Roman"/>
                <w:sz w:val="20"/>
                <w:szCs w:val="20"/>
                <w:lang w:val="en-US" w:eastAsia="hu-HU"/>
              </w:rPr>
              <w:t>F</w:t>
            </w:r>
            <w:proofErr w:type="gramEnd"/>
            <w:r w:rsidRPr="00D35406">
              <w:rPr>
                <w:rFonts w:ascii="Times New Roman" w:eastAsia="Calibri" w:hAnsi="Times New Roman" w:cs="Times New Roman"/>
                <w:sz w:val="20"/>
                <w:szCs w:val="20"/>
                <w:lang w:val="en-US" w:eastAsia="hu-HU"/>
              </w:rPr>
              <w:t xml:space="preserve">. (2017), Europe as an optimal political area: New findings, voxeu.org, június 2. </w:t>
            </w:r>
            <w:hyperlink r:id="rId19" w:history="1">
              <w:r w:rsidRPr="00D35406">
                <w:rPr>
                  <w:rFonts w:ascii="Times New Roman" w:eastAsia="Calibri" w:hAnsi="Times New Roman" w:cs="Times New Roman"/>
                  <w:color w:val="0000FF"/>
                  <w:sz w:val="20"/>
                  <w:szCs w:val="20"/>
                  <w:u w:val="single"/>
                  <w:lang w:val="en-US"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Blanchard, O., Leigh, D. (2013): Fiscal Consolidation: At What Speed? </w:t>
            </w:r>
            <w:r w:rsidRPr="00D35406">
              <w:rPr>
                <w:rFonts w:ascii="Times New Roman" w:eastAsia="Calibri" w:hAnsi="Times New Roman" w:cs="Times New Roman"/>
                <w:sz w:val="20"/>
                <w:szCs w:val="20"/>
                <w:lang w:eastAsia="hu-HU"/>
              </w:rPr>
              <w:t xml:space="preserve">Voxeu.org, 3 May, </w:t>
            </w:r>
            <w:hyperlink r:id="rId20" w:history="1">
              <w:r w:rsidRPr="00D35406">
                <w:rPr>
                  <w:rFonts w:ascii="Times New Roman" w:eastAsia="Calibri" w:hAnsi="Times New Roman" w:cs="Times New Roman"/>
                  <w:color w:val="0000FF"/>
                  <w:sz w:val="20"/>
                  <w:szCs w:val="20"/>
                  <w:u w:val="single"/>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Carden, A., Horwitz, S. (2013) Is Market Failure a Sufficient Condition for Government Intervention? Library of Economics and Liberty, featured article, 1 April 2013. </w:t>
            </w:r>
            <w:hyperlink r:id="rId21" w:history="1">
              <w:r w:rsidRPr="00D35406">
                <w:rPr>
                  <w:rFonts w:ascii="Times New Roman" w:eastAsia="Calibri" w:hAnsi="Times New Roman" w:cs="Times New Roman"/>
                  <w:sz w:val="20"/>
                  <w:szCs w:val="20"/>
                  <w:lang w:val="en-US" w:eastAsia="hu-HU"/>
                </w:rPr>
                <w:t>link</w:t>
              </w:r>
            </w:hyperlink>
            <w:r w:rsidRPr="00D35406">
              <w:rPr>
                <w:rFonts w:ascii="Times New Roman" w:eastAsia="Calibri" w:hAnsi="Times New Roman" w:cs="Times New Roman"/>
                <w:sz w:val="20"/>
                <w:szCs w:val="20"/>
                <w:lang w:val="en-US" w:eastAsia="hu-HU"/>
              </w:rPr>
              <w:t xml:space="preserve"> </w:t>
            </w:r>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Cochrane, J. (2014), Who’s Afraid of a Little Deflation? The Wall Street Journal, November 17. </w:t>
            </w:r>
            <w:hyperlink r:id="rId22" w:history="1">
              <w:r w:rsidRPr="00D35406">
                <w:rPr>
                  <w:rFonts w:ascii="Times New Roman" w:eastAsia="Calibri" w:hAnsi="Times New Roman" w:cs="Times New Roman"/>
                  <w:sz w:val="20"/>
                  <w:szCs w:val="20"/>
                  <w:lang w:val="en-US"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Easterly, W</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 xml:space="preserve"> Levine, R. (2017), The European origins of economic development, Voxeu.org, február 3., </w:t>
            </w:r>
            <w:hyperlink r:id="rId23" w:history="1">
              <w:proofErr w:type="gramStart"/>
              <w:r w:rsidRPr="00D35406">
                <w:rPr>
                  <w:rFonts w:ascii="Times New Roman" w:eastAsia="Calibri" w:hAnsi="Times New Roman" w:cs="Times New Roman"/>
                  <w:color w:val="0000FF"/>
                  <w:sz w:val="20"/>
                  <w:szCs w:val="20"/>
                  <w:u w:val="single"/>
                  <w:lang w:eastAsia="hu-HU"/>
                </w:rPr>
                <w:t>link</w:t>
              </w:r>
              <w:proofErr w:type="gramEnd"/>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Feld, L. P. (2016): Is German (macro-) economic policy different? In: Bratsiotis, G. Cobham, D. (eds.): German macro: how it’s different and why that matters. European Policy Centre, Brussles, pp. 42-54. </w:t>
            </w:r>
            <w:hyperlink r:id="rId24" w:history="1">
              <w:r w:rsidRPr="00D35406">
                <w:rPr>
                  <w:rFonts w:ascii="Times New Roman" w:eastAsia="Calibri" w:hAnsi="Times New Roman" w:cs="Times New Roman"/>
                  <w:sz w:val="20"/>
                  <w:szCs w:val="20"/>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Gamberoni, E. – Gartner, Ch. – Giordano, C. – Lopez-Garcia, P. (2016): Corruption and efficiency: A case-study of Central and Eastern Europe? VoxEu.org, October, </w:t>
            </w:r>
            <w:hyperlink r:id="rId25" w:history="1">
              <w:r w:rsidRPr="00D35406">
                <w:rPr>
                  <w:rFonts w:ascii="Times New Roman" w:eastAsia="Calibri" w:hAnsi="Times New Roman" w:cs="Times New Roman"/>
                  <w:sz w:val="20"/>
                  <w:szCs w:val="20"/>
                  <w:lang w:val="en-US" w:eastAsia="hu-HU"/>
                </w:rPr>
                <w:t>http://voxeu.org/article/corruption-doesnt-grease-wheels-central-or-eastern-europe</w:t>
              </w:r>
            </w:hyperlink>
            <w:r w:rsidRPr="00D35406">
              <w:rPr>
                <w:rFonts w:ascii="Times New Roman" w:eastAsia="Calibri" w:hAnsi="Times New Roman" w:cs="Times New Roman"/>
                <w:sz w:val="20"/>
                <w:szCs w:val="20"/>
                <w:lang w:val="en-US" w:eastAsia="hu-HU"/>
              </w:rPr>
              <w:t xml:space="preserve"> </w:t>
            </w:r>
          </w:p>
          <w:p w:rsidR="00D35406" w:rsidRPr="00D35406" w:rsidRDefault="00D35406" w:rsidP="00D35406">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val="en-GB" w:eastAsia="hu-HU"/>
              </w:rPr>
            </w:pPr>
            <w:r w:rsidRPr="00D35406">
              <w:rPr>
                <w:rFonts w:ascii="Times New Roman" w:eastAsia="Calibri" w:hAnsi="Times New Roman" w:cs="Times New Roman"/>
                <w:sz w:val="20"/>
                <w:szCs w:val="20"/>
                <w:lang w:val="en-GB" w:eastAsia="hu-HU"/>
              </w:rPr>
              <w:t xml:space="preserve">Gwartney, J., Wagner, R. E. (1988): The Public Choice Revolution. The Intercollegiate Review, Spring, pp.17-26, </w:t>
            </w:r>
            <w:hyperlink r:id="rId26" w:history="1">
              <w:r w:rsidRPr="00D35406">
                <w:rPr>
                  <w:rFonts w:ascii="Times New Roman" w:eastAsia="Calibri" w:hAnsi="Times New Roman" w:cs="Times New Roman"/>
                  <w:color w:val="0000FF"/>
                  <w:sz w:val="20"/>
                  <w:szCs w:val="20"/>
                  <w:u w:val="single"/>
                  <w:lang w:val="en-GB" w:eastAsia="hu-HU"/>
                </w:rPr>
                <w:t>link</w:t>
              </w:r>
            </w:hyperlink>
          </w:p>
          <w:p w:rsidR="00D35406" w:rsidRPr="00D35406" w:rsidRDefault="00D35406" w:rsidP="00D35406">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Higgs R. (2008): Government Growth. The Concise Encyclopedia of Economics. Library of Economics and Liberty. </w:t>
            </w:r>
            <w:hyperlink r:id="rId27" w:history="1">
              <w:r w:rsidRPr="00D35406">
                <w:rPr>
                  <w:rFonts w:ascii="Times New Roman" w:eastAsia="Calibri" w:hAnsi="Times New Roman" w:cs="Times New Roman"/>
                  <w:sz w:val="20"/>
                  <w:szCs w:val="20"/>
                  <w:lang w:val="en-US" w:eastAsia="hu-HU"/>
                </w:rPr>
                <w:t>http://www.econlib.org/library/Enc/GovernmentGrowth.html</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Landmann, O. (2017), What’s wrong with EZ: Conflicting narratives. In: Beck, Th</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 xml:space="preserve"> Kotz, H-H. (eds.), Ordoliberalism: A German oddity? CEPR Press, Centre for Economic Policy Research, London, pp. 123-133. </w:t>
            </w:r>
            <w:hyperlink r:id="rId28" w:history="1">
              <w:r w:rsidRPr="00D35406">
                <w:rPr>
                  <w:rFonts w:ascii="Times New Roman" w:eastAsia="Calibri" w:hAnsi="Times New Roman" w:cs="Times New Roman"/>
                  <w:color w:val="0000FF"/>
                  <w:sz w:val="20"/>
                  <w:szCs w:val="20"/>
                  <w:u w:val="single"/>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McCloskey, D. (2020), Don’t Trade Stock Tips or Obsess About the Fed, Read </w:t>
            </w:r>
            <w:r w:rsidRPr="00D35406">
              <w:rPr>
                <w:rFonts w:ascii="Times New Roman" w:eastAsia="Calibri" w:hAnsi="Times New Roman" w:cs="Times New Roman"/>
                <w:i/>
                <w:sz w:val="20"/>
                <w:szCs w:val="20"/>
                <w:lang w:eastAsia="hu-HU"/>
              </w:rPr>
              <w:t>Moby Dick</w:t>
            </w:r>
            <w:r w:rsidRPr="00D35406">
              <w:rPr>
                <w:rFonts w:ascii="Times New Roman" w:eastAsia="Calibri" w:hAnsi="Times New Roman" w:cs="Times New Roman"/>
                <w:sz w:val="20"/>
                <w:szCs w:val="20"/>
                <w:lang w:eastAsia="hu-HU"/>
              </w:rPr>
              <w:t xml:space="preserve"> Instead. Reason.com, január, </w:t>
            </w:r>
            <w:hyperlink r:id="rId29" w:history="1">
              <w:r w:rsidRPr="00D35406">
                <w:rPr>
                  <w:rFonts w:ascii="Times New Roman" w:eastAsia="Calibri" w:hAnsi="Times New Roman" w:cs="Times New Roman"/>
                  <w:color w:val="0000FF"/>
                  <w:sz w:val="20"/>
                  <w:szCs w:val="20"/>
                  <w:u w:val="single"/>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Pisani-Ferry, J. (2018), Euro Area Reform: An Anatomy of the Debate, voxeu.org, november 15, </w:t>
            </w:r>
            <w:hyperlink r:id="rId30" w:history="1">
              <w:r w:rsidRPr="00D35406">
                <w:rPr>
                  <w:rFonts w:ascii="Times New Roman" w:eastAsia="Calibri" w:hAnsi="Times New Roman" w:cs="Times New Roman"/>
                  <w:color w:val="0000FF"/>
                  <w:sz w:val="20"/>
                  <w:szCs w:val="20"/>
                  <w:u w:val="single"/>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Sengupta, R</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 xml:space="preserve"> Aizenman, J. (2011), The financial trilemma in China and a comparative analysis with India, voxeu.org, november 15, </w:t>
            </w:r>
            <w:hyperlink r:id="rId31" w:history="1">
              <w:r w:rsidRPr="00D35406">
                <w:rPr>
                  <w:rFonts w:ascii="Times New Roman" w:eastAsia="Calibri" w:hAnsi="Times New Roman" w:cs="Times New Roman"/>
                  <w:color w:val="0000FF"/>
                  <w:sz w:val="20"/>
                  <w:szCs w:val="20"/>
                  <w:u w:val="single"/>
                  <w:lang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color w:val="0000FF"/>
                <w:sz w:val="20"/>
                <w:szCs w:val="20"/>
                <w:u w:val="single"/>
                <w:lang w:val="en-GB" w:eastAsia="hu-HU"/>
              </w:rPr>
            </w:pPr>
            <w:r w:rsidRPr="00D35406">
              <w:rPr>
                <w:rFonts w:ascii="Times New Roman" w:eastAsia="Calibri" w:hAnsi="Times New Roman" w:cs="Times New Roman"/>
                <w:sz w:val="20"/>
                <w:szCs w:val="20"/>
                <w:lang w:val="en-GB" w:eastAsia="hu-HU"/>
              </w:rPr>
              <w:t xml:space="preserve">Sinn, G., Sinn, H.-W. (2015), Do not perpetuate the Dutch Disease in Europe: Lessons from German reunification for a European Fiscal Union, Voxeu.org, 1 November 1, </w:t>
            </w:r>
            <w:hyperlink r:id="rId32" w:history="1">
              <w:r w:rsidRPr="00D35406">
                <w:rPr>
                  <w:rFonts w:ascii="Times New Roman" w:eastAsia="Calibri" w:hAnsi="Times New Roman" w:cs="Times New Roman"/>
                  <w:color w:val="0000FF"/>
                  <w:sz w:val="20"/>
                  <w:szCs w:val="20"/>
                  <w:u w:val="single"/>
                  <w:lang w:val="en-GB" w:eastAsia="hu-HU"/>
                </w:rPr>
                <w:t>link</w:t>
              </w:r>
            </w:hyperlink>
          </w:p>
          <w:p w:rsidR="00D35406" w:rsidRPr="00D35406" w:rsidRDefault="00D35406" w:rsidP="00D35406">
            <w:pPr>
              <w:shd w:val="clear" w:color="auto" w:fill="E5DFEC"/>
              <w:suppressAutoHyphens/>
              <w:autoSpaceDE w:val="0"/>
              <w:spacing w:after="0" w:line="240" w:lineRule="auto"/>
              <w:ind w:left="699" w:right="113" w:hanging="288"/>
              <w:rPr>
                <w:rFonts w:ascii="Times New Roman" w:eastAsia="Calibri" w:hAnsi="Times New Roman" w:cs="Times New Roman"/>
                <w:color w:val="0000FF"/>
                <w:sz w:val="20"/>
                <w:szCs w:val="20"/>
                <w:lang w:val="en-GB" w:eastAsia="hu-HU"/>
              </w:rPr>
            </w:pPr>
            <w:r w:rsidRPr="00D35406">
              <w:rPr>
                <w:rFonts w:ascii="Times New Roman" w:eastAsia="Calibri" w:hAnsi="Times New Roman" w:cs="Times New Roman"/>
                <w:sz w:val="20"/>
                <w:szCs w:val="20"/>
                <w:lang w:val="en-GB" w:eastAsia="hu-HU"/>
              </w:rPr>
              <w:t xml:space="preserve">Szalai, Á. (2017): Az elveszett állam nyomában: Az államközpontú gondolkodás értelmetlensége. In: Jakab A. és Urbán L. (szerk.), Hegymenet: Társadalmi és politikai kihívások Magyarországon, Osiris, Budapest, pp. 214-228. </w:t>
            </w:r>
            <w:hyperlink r:id="rId33" w:history="1">
              <w:r w:rsidRPr="00D35406">
                <w:rPr>
                  <w:rFonts w:ascii="Times New Roman" w:eastAsia="Calibri" w:hAnsi="Times New Roman" w:cs="Times New Roman"/>
                  <w:color w:val="0000FF"/>
                  <w:sz w:val="20"/>
                  <w:szCs w:val="20"/>
                  <w:u w:val="single"/>
                  <w:lang w:val="en-GB" w:eastAsia="hu-HU"/>
                </w:rPr>
                <w:t>link</w:t>
              </w:r>
            </w:hyperlink>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483"/>
        <w:gridCol w:w="3822"/>
      </w:tblGrid>
      <w:tr w:rsidR="00D35406" w:rsidRPr="00D35406" w:rsidTr="00D35406">
        <w:tc>
          <w:tcPr>
            <w:tcW w:w="9024" w:type="dxa"/>
            <w:gridSpan w:val="3"/>
            <w:shd w:val="clear" w:color="auto" w:fill="auto"/>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lastRenderedPageBreak/>
              <w:t>Heti bontott tematika</w:t>
            </w:r>
          </w:p>
        </w:tc>
      </w:tr>
      <w:tr w:rsidR="00D35406" w:rsidRPr="00D35406" w:rsidTr="00D35406">
        <w:tc>
          <w:tcPr>
            <w:tcW w:w="719" w:type="dxa"/>
            <w:shd w:val="clear" w:color="auto" w:fill="auto"/>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hét</w:t>
            </w:r>
          </w:p>
        </w:tc>
        <w:tc>
          <w:tcPr>
            <w:tcW w:w="4483" w:type="dxa"/>
            <w:shd w:val="clear" w:color="auto" w:fill="auto"/>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téma</w:t>
            </w:r>
          </w:p>
        </w:tc>
        <w:tc>
          <w:tcPr>
            <w:tcW w:w="3822" w:type="dxa"/>
            <w:shd w:val="clear" w:color="auto" w:fill="auto"/>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tananyag</w:t>
            </w: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Bevezetés; az állami szerepvállalás indokai I</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Stiglitz (2000), 3. és 6. fejezet,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Czeglédi (2020)</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Carden és Horwitz (2013)</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jóléti közgazdaságtan szemléletmódja, piaci kudarcok</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állami szerepvállalás indokai II</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Stiglitz (2000), 3. és 6. fejezet,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Czeglédi (2020)</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Gwartney és Wagner (1988)</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közösségi választások szemléletmódja: kormányzati kudarcok</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Pénz, bankrendszer és a monetáris politika alapdilemmái</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Williamson (2009), 15</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 xml:space="preserve"> 17.+az előadás anyaga</w:t>
            </w:r>
          </w:p>
          <w:p w:rsidR="00D35406" w:rsidRPr="00D35406" w:rsidRDefault="00D35406" w:rsidP="00D35406">
            <w:pPr>
              <w:spacing w:after="0" w:line="240" w:lineRule="auto"/>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feldolgozandó: </w:t>
            </w:r>
            <w:r w:rsidRPr="00D35406">
              <w:rPr>
                <w:rFonts w:ascii="Times New Roman" w:eastAsia="Calibri" w:hAnsi="Times New Roman" w:cs="Times New Roman"/>
                <w:sz w:val="20"/>
                <w:szCs w:val="20"/>
                <w:lang w:eastAsia="hu-HU"/>
              </w:rPr>
              <w:t>Cochrane (2014)</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dinamikus inkonzisztencia és jelentősége, a Friedman-szabály, a Diamond és Dybvig bankroham-modellje</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fiskális politika makroökonómiai szerepe</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Benczes és Kutasi 1</w:t>
            </w:r>
            <w:proofErr w:type="gramStart"/>
            <w:r w:rsidRPr="00D35406">
              <w:rPr>
                <w:rFonts w:ascii="Times New Roman" w:eastAsia="Calibri" w:hAnsi="Times New Roman" w:cs="Times New Roman"/>
                <w:sz w:val="20"/>
                <w:szCs w:val="20"/>
                <w:lang w:eastAsia="hu-HU"/>
              </w:rPr>
              <w:t>.,</w:t>
            </w:r>
            <w:proofErr w:type="gramEnd"/>
            <w:r w:rsidRPr="00D35406">
              <w:rPr>
                <w:rFonts w:ascii="Times New Roman" w:eastAsia="Calibri" w:hAnsi="Times New Roman" w:cs="Times New Roman"/>
                <w:sz w:val="20"/>
                <w:szCs w:val="20"/>
                <w:lang w:eastAsia="hu-HU"/>
              </w:rPr>
              <w:t>3. fejezet+előadás anyaga</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w:t>
            </w:r>
            <w:r w:rsidRPr="00D35406">
              <w:rPr>
                <w:rFonts w:ascii="Times New Roman" w:eastAsia="Calibri" w:hAnsi="Times New Roman" w:cs="Times New Roman"/>
                <w:sz w:val="20"/>
                <w:szCs w:val="20"/>
                <w:lang w:val="en-GB" w:eastAsia="hu-HU"/>
              </w:rPr>
              <w:t>Higgs (2008); fiskális politikai adatok</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költségvetési deficit különböző kiszámítási módjai, az államadósság fenntarthatósága</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összehasonlító közgazdaságtan nézőpontja</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előadás elhangzottak; háttér: Djankov és szerzőtársai (2003)</w:t>
            </w:r>
          </w:p>
          <w:p w:rsidR="00D35406" w:rsidRPr="00D35406" w:rsidRDefault="00D35406" w:rsidP="00D35406">
            <w:pPr>
              <w:spacing w:after="0" w:line="240" w:lineRule="auto"/>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feldolgozandó: </w:t>
            </w:r>
            <w:r w:rsidRPr="00D35406">
              <w:rPr>
                <w:rFonts w:ascii="Times New Roman" w:eastAsia="Calibri" w:hAnsi="Times New Roman" w:cs="Times New Roman"/>
                <w:sz w:val="20"/>
                <w:szCs w:val="20"/>
                <w:lang w:eastAsia="hu-HU"/>
              </w:rPr>
              <w:t>Szalai (2017)</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Az állami beavatkozás </w:t>
            </w:r>
            <w:proofErr w:type="gramStart"/>
            <w:r w:rsidRPr="00D35406">
              <w:rPr>
                <w:rFonts w:ascii="Times New Roman" w:eastAsia="Calibri" w:hAnsi="Times New Roman" w:cs="Times New Roman"/>
                <w:sz w:val="20"/>
                <w:szCs w:val="20"/>
                <w:lang w:eastAsia="hu-HU"/>
              </w:rPr>
              <w:t>alapdilemmája</w:t>
            </w:r>
            <w:proofErr w:type="gramEnd"/>
            <w:r w:rsidRPr="00D35406">
              <w:rPr>
                <w:rFonts w:ascii="Times New Roman" w:eastAsia="Calibri" w:hAnsi="Times New Roman" w:cs="Times New Roman"/>
                <w:sz w:val="20"/>
                <w:szCs w:val="20"/>
                <w:lang w:eastAsia="hu-HU"/>
              </w:rPr>
              <w:t xml:space="preserve"> mint a magán és állami kisajátítási kockázat közötti átváltás</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piacgazdaság intézményrendszere</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Bara – Szabó (2007), 2-3. fejezet</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Alchian (2008)</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intézmények jelentősége, típusai a nyugati világ fejlődésében alapvető szerepet játszó intézményi innovációk</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Kína</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Szabó (2007), 9. fejezet</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w:t>
            </w:r>
            <w:r w:rsidRPr="00D35406">
              <w:rPr>
                <w:rFonts w:ascii="Times New Roman" w:eastAsia="Calibri" w:hAnsi="Times New Roman" w:cs="Times New Roman"/>
                <w:sz w:val="20"/>
                <w:szCs w:val="20"/>
                <w:lang w:val="en-GB" w:eastAsia="hu-HU"/>
              </w:rPr>
              <w:t>Easterly és Levine (2017)</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kínai szocializmus átalakulása, a 80-es évek reformjai, tények a kínai gazdasági növekedésről</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euró politikai gazdaságtana I</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előadás elhangzottak; háttér: De Grauwe (2013), Vaubel (2004), Selgin (2012)</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Landmann (2017)</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euró „ortodox” és „keynesi” kritikájának érvei</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euró politikai gazdaságtana II</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előadás elhangzottak; háttér: De Grauwe (2013), Vaubel (2004), Selgin (2012)</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Pisani-Ferry (2018)</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euró „ortodox” és „keynesi” kritikájának érvei</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jóléti állam</w:t>
            </w:r>
          </w:p>
        </w:tc>
        <w:tc>
          <w:tcPr>
            <w:tcW w:w="3822" w:type="dxa"/>
            <w:vMerge w:val="restart"/>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Bara – Szabó (2007), 6. fejezet</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Alesina et al. (2017)</w:t>
            </w:r>
          </w:p>
        </w:tc>
      </w:tr>
      <w:tr w:rsidR="00D35406" w:rsidRPr="00D35406" w:rsidTr="00D35406">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jóléti állam koncepciója, típusai. Milyen kihívásokkal szembesül a jóléti állam?</w:t>
            </w:r>
          </w:p>
        </w:tc>
        <w:tc>
          <w:tcPr>
            <w:tcW w:w="3822" w:type="dxa"/>
            <w:vMerge/>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55"/>
        </w:trPr>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Fiskális föderalizmus, adóverseny és jóléti állam</w:t>
            </w:r>
          </w:p>
        </w:tc>
        <w:tc>
          <w:tcPr>
            <w:tcW w:w="3822" w:type="dxa"/>
            <w:vMerge w:val="restart"/>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előadás elhangzottak; háttér: Höijer (2008), Curzon-Price (2008), Bergh (2008)</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Feld (2016)</w:t>
            </w:r>
          </w:p>
        </w:tc>
      </w:tr>
      <w:tr w:rsidR="00D35406" w:rsidRPr="00D35406" w:rsidTr="00D35406">
        <w:trPr>
          <w:trHeight w:val="155"/>
        </w:trPr>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adóverseny káros vagy hasznos voltára vonatkozó érvek áttekintése</w:t>
            </w:r>
          </w:p>
        </w:tc>
        <w:tc>
          <w:tcPr>
            <w:tcW w:w="3822" w:type="dxa"/>
            <w:vMerge/>
            <w:shd w:val="clear" w:color="auto" w:fill="auto"/>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r>
      <w:tr w:rsidR="00D35406" w:rsidRPr="00D35406" w:rsidTr="00D35406">
        <w:trPr>
          <w:trHeight w:val="213"/>
        </w:trPr>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2008-as pénzügyi válság és következményei</w:t>
            </w:r>
          </w:p>
        </w:tc>
        <w:tc>
          <w:tcPr>
            <w:tcW w:w="3822" w:type="dxa"/>
            <w:vMerge w:val="restart"/>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Gorton – Metrick (2012)</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Király (2009)</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Sinn and Sinn (2015)</w:t>
            </w:r>
          </w:p>
        </w:tc>
      </w:tr>
      <w:tr w:rsidR="00D35406" w:rsidRPr="00D35406" w:rsidTr="00D35406">
        <w:trPr>
          <w:trHeight w:val="212"/>
        </w:trPr>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2008-as pénzügyi válság kialakulásának lehetséges okai, a 2008-as pénzügyi válságra adott gazdaságpolitikai válaszok.</w:t>
            </w:r>
          </w:p>
        </w:tc>
        <w:tc>
          <w:tcPr>
            <w:tcW w:w="3822" w:type="dxa"/>
            <w:vMerge/>
            <w:shd w:val="clear" w:color="auto" w:fill="auto"/>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r>
      <w:tr w:rsidR="00D35406" w:rsidRPr="00D35406" w:rsidTr="00D35406">
        <w:trPr>
          <w:trHeight w:val="155"/>
        </w:trPr>
        <w:tc>
          <w:tcPr>
            <w:tcW w:w="719" w:type="dxa"/>
            <w:vMerge w:val="restart"/>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posztszocialista átmenet</w:t>
            </w:r>
          </w:p>
        </w:tc>
        <w:tc>
          <w:tcPr>
            <w:tcW w:w="3822" w:type="dxa"/>
            <w:vMerge w:val="restart"/>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Bara – Szabó (2007),</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9-10. fejezet</w:t>
            </w:r>
          </w:p>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xml:space="preserve"> </w:t>
            </w:r>
            <w:r w:rsidRPr="00D35406">
              <w:rPr>
                <w:rFonts w:ascii="Times New Roman" w:eastAsia="Calibri" w:hAnsi="Times New Roman" w:cs="Times New Roman"/>
                <w:sz w:val="20"/>
                <w:szCs w:val="20"/>
                <w:lang w:val="en-GB" w:eastAsia="hu-HU"/>
              </w:rPr>
              <w:t>Gamberoni et al. (2016)</w:t>
            </w:r>
          </w:p>
        </w:tc>
      </w:tr>
      <w:tr w:rsidR="00D35406" w:rsidRPr="00D35406" w:rsidTr="00D35406">
        <w:trPr>
          <w:trHeight w:val="155"/>
        </w:trPr>
        <w:tc>
          <w:tcPr>
            <w:tcW w:w="719" w:type="dxa"/>
            <w:vMerge/>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szocializmus összeomlásából következő gazdaságpolitikai kihívások, az intézményi átalakulás nehézségei</w:t>
            </w:r>
          </w:p>
        </w:tc>
        <w:tc>
          <w:tcPr>
            <w:tcW w:w="3822" w:type="dxa"/>
            <w:vMerge/>
            <w:shd w:val="clear" w:color="auto" w:fill="auto"/>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r>
      <w:tr w:rsidR="00D35406" w:rsidRPr="00D35406" w:rsidTr="00D35406">
        <w:trPr>
          <w:trHeight w:val="470"/>
        </w:trPr>
        <w:tc>
          <w:tcPr>
            <w:tcW w:w="719" w:type="dxa"/>
            <w:shd w:val="clear" w:color="auto" w:fill="auto"/>
            <w:vAlign w:val="center"/>
          </w:tcPr>
          <w:p w:rsidR="00D35406" w:rsidRPr="00D35406" w:rsidRDefault="00D35406" w:rsidP="00D35406">
            <w:pPr>
              <w:numPr>
                <w:ilvl w:val="0"/>
                <w:numId w:val="10"/>
              </w:numPr>
              <w:spacing w:after="0" w:line="240" w:lineRule="auto"/>
              <w:ind w:left="502"/>
              <w:jc w:val="center"/>
              <w:rPr>
                <w:rFonts w:ascii="Times New Roman" w:eastAsia="Calibri" w:hAnsi="Times New Roman" w:cs="Times New Roman"/>
                <w:sz w:val="20"/>
                <w:szCs w:val="20"/>
                <w:lang w:eastAsia="hu-HU"/>
              </w:rPr>
            </w:pPr>
          </w:p>
        </w:tc>
        <w:tc>
          <w:tcPr>
            <w:tcW w:w="4483"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Összefoglalás</w:t>
            </w:r>
          </w:p>
        </w:tc>
        <w:tc>
          <w:tcPr>
            <w:tcW w:w="3822" w:type="dxa"/>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i/>
                <w:sz w:val="20"/>
                <w:szCs w:val="20"/>
                <w:lang w:eastAsia="hu-HU"/>
              </w:rPr>
              <w:t>feldolgozandó</w:t>
            </w:r>
            <w:r w:rsidRPr="00D35406">
              <w:rPr>
                <w:rFonts w:ascii="Times New Roman" w:eastAsia="Calibri" w:hAnsi="Times New Roman" w:cs="Times New Roman"/>
                <w:sz w:val="20"/>
                <w:szCs w:val="20"/>
                <w:lang w:eastAsia="hu-HU"/>
              </w:rPr>
              <w:t>: McCloskey (2020)</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346B5E" w:rsidRDefault="00D35406" w:rsidP="00D35406">
            <w:pPr>
              <w:spacing w:after="0" w:line="240" w:lineRule="auto"/>
              <w:jc w:val="center"/>
              <w:rPr>
                <w:rFonts w:ascii="Times New Roman" w:eastAsia="Calibri" w:hAnsi="Times New Roman" w:cs="Times New Roman"/>
                <w:b/>
                <w:sz w:val="20"/>
                <w:szCs w:val="20"/>
                <w:lang w:eastAsia="hu-HU"/>
              </w:rPr>
            </w:pPr>
            <w:r w:rsidRPr="00346B5E">
              <w:rPr>
                <w:rFonts w:ascii="Times New Roman" w:eastAsia="Calibri" w:hAnsi="Times New Roman" w:cs="Times New Roman"/>
                <w:b/>
                <w:sz w:val="20"/>
                <w:szCs w:val="20"/>
                <w:lang w:eastAsia="hu-HU"/>
              </w:rPr>
              <w:t>Nemzetközi gazdasági kapcsolatok joga</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GT_MNGN010-17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Law for international business </w:t>
            </w:r>
            <w:r w:rsidRPr="00D35406">
              <w:rPr>
                <w:rFonts w:ascii="Times New Roman" w:eastAsia="Calibri" w:hAnsi="Times New Roman" w:cs="Times New Roman"/>
                <w:sz w:val="20"/>
                <w:szCs w:val="20"/>
                <w:lang w:eastAsia="hu-HU"/>
              </w:rPr>
              <w:br/>
              <w:t>relations</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DE GTK Világgazdasági és Nemzetközi Kapcsolatok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t>
            </w: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3</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magyar </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Dr. Törő Emese</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egyetemi 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kurzus célja, hogy a hallgatók megismerkednek a nemzetközi jog mindhárom aspektusához, így nemzetközi közjoghoz, a nemzetközi magánjoghoz és a nemzetközi gazdasági kapcsolatokhoz tartozó legfontosabb kérdésekkel.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közjogi részben az államok és a nemzetközi szervezetek alapvető sajátosságai, majd a nemzetközi szerződések létrehozásának és megszűnésének tárgyalása kap helyet, tekintettel arra, hogy e szereplők és folyamatok alapvetően határozzák meg a nemzetközi gazdasági kapcsolatok jogi környezetét.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magánjogi részben a nemzetközi elemet tartalmazó, de alapvetően magánjogi problémák megoldásába nyerhetnek bepillantást a hallgatók.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gazdasági kapcsolatok tárgyalásakor az általános jellemzők és tendenciák mellett a hallgatók megismerik a nemzetközi forgalom legtipikusabb szerződéseinek sajátosságait, így többek között az adásvétel, a fuvarozás, a szállítmányozás és a franchise jogi szabályozását.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vállalati, régiós, állami és nemzetközi szervezetek működésében megjelenő problémák és az új környezeti jelenségek önálló felismerésére, feladatok kijelölésére, megoldására.</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Elkötelezettség jellemzi a minőség, a fenntarthatóság és a sokszínűség iránt. Kritikusan viszonyul saját, illetve a beosztottak tudásához, munkájához és magatartásához. Kötelességének tartja a hibák kijavítását, munkatársai fejlesztését.</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 Érdeklődéssel fordul a kapcsolódó szaktudományok eredményei és megoldásai felé, nyitott a kapcsolatépítésre.</w:t>
            </w: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Társadalmi és közéleti ügyekben kezdeményező, felelős magatartást tanúsít a munkatársak, beosztottak vonatkozásában.</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megismerkednek a nemzetközi jog mindhárom aspektusához, így nemzetközi közjoghoz, a nemzetközi magánjoghoz és a nemzetközi gazdasági kapcsolatokhoz tartozó legfontosabb kérdésekkel. A közjogi részben az államok és a nemzetközi szervezetek alapvető sajátosságai, majd a nemzetközi szerződések létrehozásának és megszűnésének tárgyalása kap helyet, tekintettel arra, hogy e szereplők és folyamatok alapvetően határozzák meg a nemzetközi gazdasági kapcsolatok jogi környezetét. A magánjogi részben a nemzetközi elemet tartalmazó, de alapvetően magánjogi problémák megoldásába nyerhetnek bepillantást a hallgatók.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gazdasági kapcsolatok tárgyalásakor az általános jellemzők és tendenciák mellett a hallgatók megismerik a nemzetközi forgalom legtipikusabb szerződéseinek sajátosságait, így többek között az adásvétel, a fuvarozás, a szállítmányozás és a franchise jogi szabályozását.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Tervezett tanulási tevékenységek, tanítási módszerek</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tantárgy sokszínűségéből adódóan az előadások során folyamatosan adott a kérdések és problémák felvetésének lehetősége. A hallgatók érdeklődésüknek, tájékozottságuknak megfelelően vethetnek fel olyan, a tananyagoz kapcsolódó kérdéseket, melyek jelentős jogi aspektussal is rendelkeznek. Az oktatók részéről folyamatos visszacsatolás, valamint vitaindító kérdések felvetése is jellemző az órák során. </w:t>
            </w:r>
          </w:p>
          <w:p w:rsidR="00D35406" w:rsidRPr="00D35406" w:rsidRDefault="00D35406" w:rsidP="00D35406">
            <w:pPr>
              <w:tabs>
                <w:tab w:val="left" w:pos="6664"/>
              </w:tabs>
              <w:spacing w:after="0" w:line="240" w:lineRule="auto"/>
              <w:jc w:val="both"/>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Értékelés</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Az írásbeli dolgozatok értékelése során elért eredmények értékelése az alábbiak szerint történik: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0-50%: elégtelen</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51%-60%: elégséges</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61%-70%: közepes</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71%-85%: jó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86-100%: jeles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Kötelező szakirodalom:</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Bánrévy Gábor (2018)</w:t>
            </w:r>
            <w:proofErr w:type="gramStart"/>
            <w:r w:rsidRPr="00D35406">
              <w:rPr>
                <w:rFonts w:ascii="Times New Roman" w:eastAsia="Calibri" w:hAnsi="Times New Roman" w:cs="Times New Roman"/>
                <w:sz w:val="20"/>
                <w:szCs w:val="20"/>
                <w:lang w:eastAsia="hu-HU"/>
              </w:rPr>
              <w:t>:A</w:t>
            </w:r>
            <w:proofErr w:type="gramEnd"/>
            <w:r w:rsidRPr="00D35406">
              <w:rPr>
                <w:rFonts w:ascii="Times New Roman" w:eastAsia="Calibri" w:hAnsi="Times New Roman" w:cs="Times New Roman"/>
                <w:sz w:val="20"/>
                <w:szCs w:val="20"/>
                <w:lang w:eastAsia="hu-HU"/>
              </w:rPr>
              <w:t xml:space="preserve"> nemzetközi gazdasági kapcsolatok joga, Szent István Társulat, Budapest.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Kovács Péter (2016): Nemzetközi közjog, Osiris Kiadó, Budapest.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Mádl Ferenc- Vékás Lajos (2018): Nemzetközi magánjog és nemzetközi gazdasági kapcsolatok joga, ELTE Eötvös Kiadó, Budapest. </w:t>
            </w: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p>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Ajánlott szakirodalom:</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Burián László- Czigler Dezső Tamás- Kecskés László – Vörös Imre (2010): Európai és magyar nemzetközi kollízós magánjog, KRIM Bt., Budapest.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Siska Katalin- Szemesi Sándor (2006): A nemzetközi jog története, Debreceni Egyetem Kossuth Egyetemi Kiadó, Debrecen.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Szemesi Sándor (2011): A nemzetközi jog alapintézményei. Lícium Art Kiadó, Debrecen.</w:t>
            </w:r>
          </w:p>
        </w:tc>
      </w:tr>
    </w:tbl>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35406" w:rsidRPr="00D35406" w:rsidTr="00346B5E">
        <w:tc>
          <w:tcPr>
            <w:tcW w:w="9024" w:type="dxa"/>
            <w:gridSpan w:val="2"/>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Heti bontott tematika</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jog rendszere, jogforrásai, alanyai, alapfogalmai</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jogi alapismeretek elsajátítása, az alapvető fogalmak, jogforrások és szereplők megismerése. A nemzetközi jog rendszerének felvázolása, alapvető összefüggések ismertetése.</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közjog alanyai 1: Az állam</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államiság kritériumai, az államok létrejötte és elismerése, államok fajtái, államok megszűnése. Az államterület, és az államhatárok specialitásai. A légitér, a világűr és a tenger jogi aspektusai.</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közjog alanyai 2: A nemzetközi szervezetek</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szervezetek alapvető jogi ismérvei. Alapítás, működés, megszüntetés. Döntéshozatal a nemzetközi szervezetek keretében.</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szerződések joga</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tabs>
                <w:tab w:val="left" w:pos="738"/>
              </w:tabs>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r w:rsidRPr="00D35406">
              <w:rPr>
                <w:rFonts w:ascii="Times New Roman" w:eastAsia="Calibri" w:hAnsi="Times New Roman" w:cs="Times New Roman"/>
                <w:sz w:val="20"/>
                <w:szCs w:val="20"/>
                <w:lang w:eastAsia="hu-HU"/>
              </w:rPr>
              <w:tab/>
            </w:r>
          </w:p>
          <w:p w:rsidR="00D35406" w:rsidRPr="00D35406" w:rsidRDefault="00D35406" w:rsidP="00D35406">
            <w:pPr>
              <w:tabs>
                <w:tab w:val="left" w:pos="738"/>
              </w:tabs>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szerződések megkötésének rendje, a jelenleg hatályos magyar szabályozás ismertetése. A nemzetközi szerződések hatályosságának, és érvényességének kérdései. Az abszolút és relatív érvénytelenség jelentése, esetei.</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közjog aktuális kérdései</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emberi jogok fejlődéstörténete, az emberi jogok védelmének alapelvei. A kisebbségek és a menekültek helyzetének nemzetközi jogi sajátosságai. A természeti környezet védelmével összefüggő nemzetközi kihívások, és azok kezelésére kiadott nemzetközi egyezmények tárgyalása. A nemzetközi környezetvédelmi jog alapelvei, a környezeti károk okozásáért való felelősségre vonás problémái. A bős-nagymarosi vízlépcsőper, és a tiszai ciánszennyezés jogi aspektusai.</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kollíziós magánjog története és általános kérdései  </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kollíziós magánjog kialakulásának feltételrendszere, a jogtörténeti fejlődés legfontosabb állomásai. A nemzetközi kollízió mibenléte, alapvetés.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kollíziós szabály és alkalmazása   </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kollíziós magánjog általános része a kollíziós szabály szerkezetével és alkalmazásával foglalkozik. Ezzel összefüggésben tárgyalásra kerül a joghatóság, a minősítés, a vissza- és tovább utalás, valamint a külföldi jog alkalmazását kizáró körülmények rendszere is.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Személyek joga, tulajdonjog és szerződések a nemzetközi magánjogban</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kollíziós magánjog különös része az egyes jogterületeken leggyakrabban alkalmazott kapcsolóelvek rendszerét tárgyalja, kitekintéssel az európai uniós jogalkalmazói megoldásokra.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gazdasági kapcsolatok jogának általános jellemzői  </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A „nemzetközi gazdasági kapcsolatok joga”, mint egy relatíve önálló, komplex jogterület kerül tárgyalásra. A joganyag közjogi komponense keretében a külkereskedelmi ügyletek jogi környezete kerül bemutatásra, míg a magánjogi komponens a konkrét, vállalkozások között megkötött szerződéseket, és lehetséges fizetési módozatokat ismerteti.</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tabs>
                <w:tab w:val="center" w:pos="3752"/>
              </w:tabs>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Kötelmi jogi alapismeretek</w:t>
            </w:r>
            <w:r w:rsidRPr="00D35406">
              <w:rPr>
                <w:rFonts w:ascii="Times New Roman" w:eastAsia="Calibri" w:hAnsi="Times New Roman" w:cs="Times New Roman"/>
                <w:sz w:val="20"/>
                <w:szCs w:val="20"/>
                <w:lang w:eastAsia="hu-HU"/>
              </w:rPr>
              <w:tab/>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szerződésekkel kapcsolatos alapvető polgári jogi fogalmak tárgyalása. A szerződés létrejötte és megszűnése. A szerződésszegés esetei. A szerződést biztosító mellékkötelezettségek rendszere.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Tipikus szerződések a nemzetközi kereskedelemben 1.</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tulajdonjog átruházás célzó szerződések sajátosságai. A vállalkozási és megbízási típusú ügyletek jellemzői. Külpiacra lépés jogbérleti szerződéssel.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Tipikus szerződések a nemzetközi kereskedelemben 2.</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fuvarozási és a szállítmányozási szerződés sajátosságainak ismertetése, az INCOTERMS 2020 klauzulák és jelentőségük a nemzetközi áruforgalomban.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Fizetési módozatok és értékpapírok a nemzetközi kereskedelemben </w:t>
            </w:r>
          </w:p>
        </w:tc>
      </w:tr>
      <w:tr w:rsidR="00D35406" w:rsidRPr="00D35406" w:rsidTr="00346B5E">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fizetési számlák közötti fizetési módozatok jellemzői, az akkreditív sajátosságai. A nemzetközi kereskedelemben tipikusan előforduló értékpapírok (váltó, csekk, letéti jegy, hajóraklevél, közraktári jegy) bemutatása. </w:t>
            </w:r>
          </w:p>
        </w:tc>
      </w:tr>
      <w:tr w:rsidR="00D35406" w:rsidRPr="00D35406" w:rsidTr="00346B5E">
        <w:tc>
          <w:tcPr>
            <w:tcW w:w="1487" w:type="dxa"/>
            <w:vMerge w:val="restart"/>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Nemzetközi beruházások jogi védelme</w:t>
            </w:r>
          </w:p>
        </w:tc>
      </w:tr>
      <w:tr w:rsidR="00D35406" w:rsidRPr="00D35406" w:rsidTr="00346B5E">
        <w:trPr>
          <w:trHeight w:val="70"/>
        </w:trPr>
        <w:tc>
          <w:tcPr>
            <w:tcW w:w="1487" w:type="dxa"/>
            <w:vMerge/>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7537"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beruházások jogi garanciái a nemzeti, és a nemzetközi jogban. A beruházásvédelemmel kapcsolatos hatályos szabályozás, és a vonatkozó nemzetközi egyezmények bemutatása. A Washingtoni Konvenció és a MIGA működése. </w:t>
            </w:r>
          </w:p>
        </w:tc>
      </w:tr>
    </w:tbl>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10065" w:type="dxa"/>
        <w:tblInd w:w="-431" w:type="dxa"/>
        <w:tblLayout w:type="fixed"/>
        <w:tblCellMar>
          <w:left w:w="0" w:type="dxa"/>
          <w:right w:w="0" w:type="dxa"/>
        </w:tblCellMar>
        <w:tblLook w:val="0000" w:firstRow="0" w:lastRow="0" w:firstColumn="0" w:lastColumn="0" w:noHBand="0" w:noVBand="0"/>
      </w:tblPr>
      <w:tblGrid>
        <w:gridCol w:w="1369"/>
        <w:gridCol w:w="671"/>
        <w:gridCol w:w="88"/>
        <w:gridCol w:w="576"/>
        <w:gridCol w:w="851"/>
        <w:gridCol w:w="850"/>
        <w:gridCol w:w="942"/>
        <w:gridCol w:w="1762"/>
        <w:gridCol w:w="855"/>
        <w:gridCol w:w="2101"/>
      </w:tblGrid>
      <w:tr w:rsidR="00D35406" w:rsidRPr="00D35406" w:rsidTr="00346B5E">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Arial Unicode MS" w:hAnsi="Times New Roman" w:cs="Times New Roman"/>
                <w:b/>
                <w:sz w:val="20"/>
                <w:szCs w:val="16"/>
                <w:lang w:eastAsia="hu-HU"/>
              </w:rPr>
              <w:t>A világgazdaság történelme</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10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GT_MNGN021-17</w:t>
            </w:r>
          </w:p>
        </w:tc>
      </w:tr>
      <w:tr w:rsidR="00D35406" w:rsidRPr="00D35406" w:rsidTr="00346B5E">
        <w:trPr>
          <w:cantSplit/>
          <w:trHeight w:val="420"/>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Economic History of the World</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10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346B5E">
        <w:trPr>
          <w:cantSplit/>
          <w:trHeight w:val="420"/>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346B5E">
        <w:trPr>
          <w:cantSplit/>
          <w:trHeight w:val="420"/>
        </w:trPr>
        <w:tc>
          <w:tcPr>
            <w:tcW w:w="3555"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51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Világgazdasági és Nemzetközi Kapcsolatok Intézet</w:t>
            </w:r>
          </w:p>
        </w:tc>
      </w:tr>
      <w:tr w:rsidR="00D35406" w:rsidRPr="00D35406" w:rsidTr="00346B5E">
        <w:trPr>
          <w:trHeight w:val="420"/>
        </w:trPr>
        <w:tc>
          <w:tcPr>
            <w:tcW w:w="3555"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10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346B5E">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10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346B5E">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10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346B5E">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4</w:t>
            </w:r>
          </w:p>
        </w:tc>
        <w:tc>
          <w:tcPr>
            <w:tcW w:w="210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346B5E">
        <w:trPr>
          <w:cantSplit/>
          <w:trHeight w:val="279"/>
        </w:trPr>
        <w:tc>
          <w:tcPr>
            <w:tcW w:w="1369"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10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346B5E">
        <w:trPr>
          <w:cantSplit/>
          <w:trHeight w:val="251"/>
        </w:trPr>
        <w:tc>
          <w:tcPr>
            <w:tcW w:w="3555"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Lévai Csaba</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10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egyetemi docens</w:t>
            </w:r>
          </w:p>
        </w:tc>
      </w:tr>
      <w:tr w:rsidR="00D35406" w:rsidRPr="00D35406" w:rsidTr="00346B5E">
        <w:trPr>
          <w:cantSplit/>
          <w:trHeight w:val="460"/>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 a hallgatók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megismerjék a modern világgazdasági rendszer születésének és formálódásának </w:t>
            </w:r>
            <w:proofErr w:type="gramStart"/>
            <w:r w:rsidRPr="00D35406">
              <w:rPr>
                <w:rFonts w:ascii="Times New Roman" w:eastAsia="Calibri" w:hAnsi="Times New Roman" w:cs="Times New Roman"/>
                <w:sz w:val="20"/>
                <w:szCs w:val="20"/>
                <w:lang w:eastAsia="hu-HU"/>
              </w:rPr>
              <w:t>történetét ,</w:t>
            </w:r>
            <w:proofErr w:type="gramEnd"/>
            <w:r w:rsidRPr="00D35406">
              <w:rPr>
                <w:rFonts w:ascii="Times New Roman" w:eastAsia="Calibri" w:hAnsi="Times New Roman" w:cs="Times New Roman"/>
                <w:sz w:val="20"/>
                <w:szCs w:val="20"/>
                <w:lang w:eastAsia="hu-HU"/>
              </w:rPr>
              <w:t xml:space="preserve"> a globalizáció folyamatait és szerkezetét.</w:t>
            </w:r>
          </w:p>
        </w:tc>
      </w:tr>
      <w:tr w:rsidR="00D35406" w:rsidRPr="00D35406" w:rsidTr="00346B5E">
        <w:trPr>
          <w:cantSplit/>
          <w:trHeight w:val="1400"/>
        </w:trPr>
        <w:tc>
          <w:tcPr>
            <w:tcW w:w="10065"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számára a gazdaságtörténet alapvető, átfogó fogalmainak, elméleteinek, tényeinek, nemzetgazdasági és nemzetközi összefüggéseinek ismerete,</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világgazdasági, nemzetközi üzleti folyamatoknak, a gazdaságpolitika és a szakterület szerint releváns, kapcsolódó szakpolitikáknak, jogszabályok változásainak értelmezése és alkalmazása javaslatai, döntései során,</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Befogadó mások véleménye, az ágazati, regionális, nemzeti és európai értékek iránt (ide értve a társadalmi, szociális és ökológiai, fenntarthatósági szempontokat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elemzésekért, következtetéseiért és döntéseiért felelősséget vállal.</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346B5E">
        <w:trPr>
          <w:trHeight w:val="401"/>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pacing w:after="0" w:line="240" w:lineRule="auto"/>
              <w:ind w:left="360" w:right="158"/>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 </w:t>
            </w:r>
          </w:p>
          <w:p w:rsidR="00D35406" w:rsidRPr="00D35406" w:rsidRDefault="00D35406" w:rsidP="00D35406">
            <w:pPr>
              <w:spacing w:after="0" w:line="240" w:lineRule="auto"/>
              <w:ind w:left="360" w:right="158"/>
              <w:jc w:val="both"/>
              <w:rPr>
                <w:rFonts w:ascii="Arial" w:eastAsia="Calibri" w:hAnsi="Arial" w:cs="Times New Roman"/>
                <w:sz w:val="24"/>
                <w:szCs w:val="20"/>
                <w:lang w:eastAsia="hu-HU"/>
              </w:rPr>
            </w:pPr>
          </w:p>
        </w:tc>
      </w:tr>
      <w:tr w:rsidR="00D35406" w:rsidRPr="00D35406" w:rsidTr="00346B5E">
        <w:trPr>
          <w:trHeight w:val="1319"/>
        </w:trPr>
        <w:tc>
          <w:tcPr>
            <w:tcW w:w="10065"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Előadás</w:t>
            </w:r>
            <w:proofErr w:type="gramStart"/>
            <w:r w:rsidRPr="00D35406">
              <w:rPr>
                <w:rFonts w:ascii="Times New Roman" w:eastAsia="Calibri" w:hAnsi="Times New Roman" w:cs="Times New Roman"/>
                <w:sz w:val="20"/>
                <w:szCs w:val="20"/>
                <w:lang w:eastAsia="hu-HU"/>
              </w:rPr>
              <w:t>,  prezentáció</w:t>
            </w:r>
            <w:proofErr w:type="gramEnd"/>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roofErr w:type="gramStart"/>
            <w:r w:rsidRPr="00D35406">
              <w:rPr>
                <w:rFonts w:ascii="Times New Roman" w:eastAsia="Calibri" w:hAnsi="Times New Roman" w:cs="Times New Roman"/>
                <w:sz w:val="20"/>
                <w:szCs w:val="20"/>
                <w:lang w:eastAsia="hu-HU"/>
              </w:rPr>
              <w:t>:kis</w:t>
            </w:r>
            <w:proofErr w:type="gramEnd"/>
            <w:r w:rsidRPr="00D35406">
              <w:rPr>
                <w:rFonts w:ascii="Times New Roman" w:eastAsia="Calibri" w:hAnsi="Times New Roman" w:cs="Times New Roman"/>
                <w:sz w:val="20"/>
                <w:szCs w:val="20"/>
                <w:lang w:eastAsia="hu-HU"/>
              </w:rPr>
              <w:t xml:space="preserve"> csoportos feldolgozás, tanulói prezentáció (esettanulmányok)</w:t>
            </w:r>
          </w:p>
        </w:tc>
      </w:tr>
      <w:tr w:rsidR="00D35406" w:rsidRPr="00D35406" w:rsidTr="00346B5E">
        <w:trPr>
          <w:trHeight w:val="1021"/>
        </w:trPr>
        <w:tc>
          <w:tcPr>
            <w:tcW w:w="10065"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pacing w:after="0" w:line="240" w:lineRule="auto"/>
              <w:ind w:left="708"/>
              <w:rPr>
                <w:rFonts w:ascii="Times New Roman" w:eastAsia="Calibri" w:hAnsi="Times New Roman" w:cs="Times New Roman"/>
                <w:bCs/>
                <w:sz w:val="20"/>
                <w:szCs w:val="20"/>
                <w:lang w:eastAsia="hu-HU"/>
              </w:rPr>
            </w:pPr>
            <w:r w:rsidRPr="00D35406">
              <w:rPr>
                <w:rFonts w:ascii="Times New Roman" w:eastAsia="Calibri" w:hAnsi="Times New Roman" w:cs="Times New Roman"/>
                <w:bCs/>
                <w:sz w:val="20"/>
                <w:szCs w:val="20"/>
                <w:lang w:eastAsia="hu-HU"/>
              </w:rPr>
              <w:t>Írásbeli vizsga a vizsgaidőszakban,</w:t>
            </w:r>
          </w:p>
          <w:p w:rsidR="00D35406" w:rsidRPr="00905CDA" w:rsidRDefault="00D35406" w:rsidP="00905CDA">
            <w:pPr>
              <w:spacing w:after="0" w:line="240" w:lineRule="auto"/>
              <w:ind w:left="708"/>
              <w:rPr>
                <w:rFonts w:ascii="Times New Roman" w:eastAsia="Calibri" w:hAnsi="Times New Roman" w:cs="Times New Roman"/>
                <w:bCs/>
                <w:sz w:val="20"/>
                <w:szCs w:val="20"/>
                <w:lang w:eastAsia="hu-HU"/>
              </w:rPr>
            </w:pPr>
            <w:r w:rsidRPr="00D35406">
              <w:rPr>
                <w:rFonts w:ascii="Times New Roman" w:eastAsia="Calibri" w:hAnsi="Times New Roman" w:cs="Times New Roman"/>
                <w:bCs/>
                <w:sz w:val="20"/>
                <w:szCs w:val="20"/>
                <w:lang w:eastAsia="hu-HU"/>
              </w:rPr>
              <w:t>Vizsgafeladat: az előadás tematikájában szereplő témák közül kettő, amelyek közül a vizsgázó egyet választhatóan dolg</w:t>
            </w:r>
            <w:r w:rsidR="00905CDA">
              <w:rPr>
                <w:rFonts w:ascii="Times New Roman" w:eastAsia="Calibri" w:hAnsi="Times New Roman" w:cs="Times New Roman"/>
                <w:bCs/>
                <w:sz w:val="20"/>
                <w:szCs w:val="20"/>
                <w:lang w:eastAsia="hu-HU"/>
              </w:rPr>
              <w:t>oz ki kifejtő módszerrel (esszé)</w:t>
            </w:r>
          </w:p>
        </w:tc>
      </w:tr>
      <w:tr w:rsidR="00D35406" w:rsidRPr="00D35406" w:rsidTr="00346B5E">
        <w:trPr>
          <w:trHeight w:val="1021"/>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Kötelező szakirodalom:</w:t>
            </w:r>
          </w:p>
          <w:p w:rsidR="00D35406" w:rsidRPr="00D35406" w:rsidRDefault="00D35406" w:rsidP="00D35406">
            <w:pPr>
              <w:numPr>
                <w:ilvl w:val="0"/>
                <w:numId w:val="11"/>
              </w:numPr>
              <w:spacing w:after="0" w:line="240" w:lineRule="auto"/>
              <w:ind w:hanging="357"/>
              <w:rPr>
                <w:rFonts w:ascii="Times New Roman" w:eastAsia="Times New Roman" w:hAnsi="Times New Roman" w:cs="Times New Roman"/>
                <w:sz w:val="20"/>
                <w:szCs w:val="20"/>
                <w:lang w:eastAsia="hu-HU"/>
              </w:rPr>
            </w:pPr>
            <w:r w:rsidRPr="00D35406">
              <w:rPr>
                <w:rFonts w:ascii="Times New Roman" w:eastAsia="Times New Roman" w:hAnsi="Times New Roman" w:cs="Times New Roman"/>
                <w:sz w:val="20"/>
                <w:szCs w:val="20"/>
                <w:lang w:eastAsia="hu-HU"/>
              </w:rPr>
              <w:t xml:space="preserve">Cameron, Rondo: A világgazdaság rövid története a kőkorszaktól napjainkig, Maecenas, Budapest, 1994. </w:t>
            </w:r>
          </w:p>
          <w:p w:rsidR="00D35406" w:rsidRPr="00D35406" w:rsidRDefault="00D35406" w:rsidP="00D35406">
            <w:pPr>
              <w:numPr>
                <w:ilvl w:val="0"/>
                <w:numId w:val="11"/>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Nyugat-európai gazdaság- és társadalomtörténet. A rurális társadalomtól a gondoskodó államig. (ed. </w:t>
            </w:r>
            <w:r w:rsidRPr="00D35406">
              <w:rPr>
                <w:rFonts w:ascii="Times New Roman" w:eastAsia="Times New Roman" w:hAnsi="Times New Roman" w:cs="Times New Roman"/>
                <w:sz w:val="20"/>
                <w:szCs w:val="20"/>
                <w:lang w:eastAsia="hu-HU"/>
              </w:rPr>
              <w:t>H. A. Dideriks, J. Th. Lindblad, D. J. Noordam, G. C. Quispel, B. M. A. de Vries)</w:t>
            </w:r>
            <w:r w:rsidRPr="00D35406">
              <w:rPr>
                <w:rFonts w:ascii="Times New Roman" w:eastAsia="Calibri" w:hAnsi="Times New Roman" w:cs="Times New Roman"/>
                <w:sz w:val="20"/>
                <w:szCs w:val="20"/>
                <w:lang w:eastAsia="hu-HU"/>
              </w:rPr>
              <w:t xml:space="preserve"> Osiris, Bp. 1995.</w:t>
            </w:r>
          </w:p>
          <w:p w:rsidR="00D35406" w:rsidRPr="00905CDA" w:rsidRDefault="00D35406" w:rsidP="00D35406">
            <w:pPr>
              <w:numPr>
                <w:ilvl w:val="0"/>
                <w:numId w:val="11"/>
              </w:numPr>
              <w:shd w:val="clear" w:color="auto" w:fill="E5DFEC"/>
              <w:suppressAutoHyphens/>
              <w:autoSpaceDE w:val="0"/>
              <w:spacing w:after="0" w:line="240" w:lineRule="auto"/>
              <w:ind w:right="113" w:hanging="357"/>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Kaposi Zoltán: A XX. század gazdaságtörténete I. 1918-1945. Dialóg Campus Kiadó, Pécs, 1998.</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numPr>
                <w:ilvl w:val="0"/>
                <w:numId w:val="12"/>
              </w:numPr>
              <w:spacing w:after="0" w:line="240" w:lineRule="auto"/>
              <w:ind w:left="708"/>
              <w:rPr>
                <w:rFonts w:ascii="Times New Roman" w:eastAsia="Times New Roman" w:hAnsi="Times New Roman" w:cs="Times New Roman"/>
                <w:sz w:val="20"/>
                <w:szCs w:val="20"/>
                <w:lang w:eastAsia="hu-HU"/>
              </w:rPr>
            </w:pPr>
            <w:r w:rsidRPr="00D35406">
              <w:rPr>
                <w:rFonts w:ascii="Times New Roman" w:eastAsia="Times New Roman" w:hAnsi="Times New Roman" w:cs="Times New Roman"/>
                <w:sz w:val="20"/>
                <w:szCs w:val="20"/>
                <w:lang w:eastAsia="hu-HU"/>
              </w:rPr>
              <w:t>Berend T. Iván – Ránki György: Európa gazdasága a 19. században, 1780-1914. Közgazdasági és Jogi Kiadó, Bp. 1987.</w:t>
            </w:r>
          </w:p>
          <w:p w:rsidR="00D35406" w:rsidRPr="00D35406" w:rsidRDefault="00D35406" w:rsidP="00D35406">
            <w:pPr>
              <w:numPr>
                <w:ilvl w:val="0"/>
                <w:numId w:val="12"/>
              </w:numPr>
              <w:spacing w:after="0" w:line="240" w:lineRule="auto"/>
              <w:ind w:left="708"/>
              <w:rPr>
                <w:rFonts w:ascii="Times New Roman" w:eastAsia="Times New Roman" w:hAnsi="Times New Roman" w:cs="Times New Roman"/>
                <w:sz w:val="20"/>
                <w:szCs w:val="20"/>
                <w:lang w:eastAsia="hu-HU"/>
              </w:rPr>
            </w:pPr>
            <w:r w:rsidRPr="00D35406">
              <w:rPr>
                <w:rFonts w:ascii="Times New Roman" w:eastAsia="Times New Roman" w:hAnsi="Times New Roman" w:cs="Times New Roman"/>
                <w:sz w:val="20"/>
                <w:szCs w:val="20"/>
                <w:lang w:eastAsia="hu-HU"/>
              </w:rPr>
              <w:t xml:space="preserve">Norman J. G. Pounds: Európa történeti földrajza. Osiris Kiadó, Budapest, 1997. </w:t>
            </w:r>
          </w:p>
          <w:p w:rsidR="00D35406" w:rsidRPr="00346B5E" w:rsidRDefault="00D35406" w:rsidP="00346B5E">
            <w:pPr>
              <w:numPr>
                <w:ilvl w:val="0"/>
                <w:numId w:val="12"/>
              </w:numPr>
              <w:spacing w:after="0" w:line="240" w:lineRule="auto"/>
              <w:rPr>
                <w:rFonts w:ascii="Times New Roman" w:eastAsia="Times New Roman" w:hAnsi="Times New Roman" w:cs="Times New Roman"/>
                <w:sz w:val="20"/>
                <w:szCs w:val="20"/>
                <w:lang w:eastAsia="hu-HU"/>
              </w:rPr>
            </w:pPr>
            <w:r w:rsidRPr="00D35406">
              <w:rPr>
                <w:rFonts w:ascii="Times New Roman" w:eastAsia="Times New Roman" w:hAnsi="Times New Roman" w:cs="Times New Roman"/>
                <w:sz w:val="20"/>
                <w:szCs w:val="20"/>
                <w:lang w:eastAsia="hu-HU"/>
              </w:rPr>
              <w:t>Randy C. Epping: Világgazdaság dióhéjban. Typotex Kiadó. Budapest, 2003</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24"/>
      </w:tblGrid>
      <w:tr w:rsidR="00D35406" w:rsidRPr="00D35406" w:rsidTr="00346B5E">
        <w:trPr>
          <w:trHeight w:val="331"/>
          <w:jc w:val="center"/>
        </w:trPr>
        <w:tc>
          <w:tcPr>
            <w:tcW w:w="9912"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Elméleti bevezetés: néhány történeti megközelítésű elmélet a világgazdasági rendszer létrejöttére és hosszabb távú fejlődésére vonatkozóan (I. Wallerstein, Ny. D. Kondratyev, W. W. Rostow, S. Kuznets, A. Gerschenkron)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félév anyagának fogalmi-elméleti megalapozása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A középkori Európa gazdasági kapcsolatai a világ más részeivel. A nagy földrajzi felfedezések és következményei, a gyarmatosítás kezdetei: a modern világgazdasági rendszer kialakulása a kora újkorban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472"/>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Közgazdasági elmélet és gyakorlat a kora újkorban: a merkantilizmus és a fiziokratizmus</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Ipari forradalom vagy iparosítás: a modern gazdasági fejlődés kibontakozásának néhány elméleti kérdése. Miért az Egyesült Királyságban kezdődött az iparosítás folyamata?</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A kontinentális Nyugat-Európa gazdasági fejlődése a 19. században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 xml:space="preserve">A gazdasági elmaradottság történeti távlatból: Kelet-Közép-Európa és Oroszország gazdasági fejlődése a 19. században </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314"/>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Gyarmatból az élre: az Amerikai Egyesült Államok gazdasági fejlődése a 19. században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Közgazdasági elmélet és gyakorlat a 19. században: a klasszikus brit politikai gazdaságtan, illetve tovább fejlesztői és bírálói</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Az első világháború és azt lezáró békeszerződések hatása a világgazdaságra</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Válság és rekonstrukció az első világháború után; a nagy gazdasági világválság és a kilábalási kísérletek az 1930-as évek második felében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Az Egyesült Királyság és a kontinentális Nyugat-Európa gazdasága a két világháború közötti időszakban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b/>
              </w:rPr>
            </w:pPr>
            <w:r w:rsidRPr="00D35406">
              <w:rPr>
                <w:rFonts w:ascii="Times New Roman" w:eastAsia="Calibri" w:hAnsi="Times New Roman" w:cs="Times New Roman"/>
                <w:b/>
                <w:sz w:val="20"/>
                <w:szCs w:val="20"/>
              </w:rPr>
              <w:t>Kelet-Közép-Európa és Szovjet-Oroszország gazdasága a két világháború közötti időszakban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Az Amerikai Egyesült Államok gazdasága a két világháború közötti időszakban</w:t>
            </w:r>
          </w:p>
        </w:tc>
      </w:tr>
      <w:tr w:rsidR="00D35406" w:rsidRPr="00D35406" w:rsidTr="00905CDA">
        <w:trPr>
          <w:trHeight w:val="151"/>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roofErr w:type="gramStart"/>
            <w:r w:rsidRPr="00D35406">
              <w:rPr>
                <w:rFonts w:ascii="Times New Roman" w:eastAsia="Calibri" w:hAnsi="Times New Roman" w:cs="Times New Roman"/>
                <w:sz w:val="20"/>
                <w:szCs w:val="20"/>
                <w:lang w:eastAsia="hu-HU"/>
              </w:rPr>
              <w:t>TE  Az</w:t>
            </w:r>
            <w:proofErr w:type="gramEnd"/>
            <w:r w:rsidRPr="00D35406">
              <w:rPr>
                <w:rFonts w:ascii="Times New Roman" w:eastAsia="Calibri" w:hAnsi="Times New Roman" w:cs="Times New Roman"/>
                <w:sz w:val="20"/>
                <w:szCs w:val="20"/>
                <w:lang w:eastAsia="hu-HU"/>
              </w:rPr>
              <w:t xml:space="preserve"> előadás anyagának megértése, feldolgozása</w:t>
            </w:r>
          </w:p>
        </w:tc>
      </w:tr>
      <w:tr w:rsidR="00D35406" w:rsidRPr="00D35406" w:rsidTr="00905CDA">
        <w:trPr>
          <w:trHeight w:val="236"/>
          <w:jc w:val="center"/>
        </w:trPr>
        <w:tc>
          <w:tcPr>
            <w:tcW w:w="988" w:type="dxa"/>
            <w:vMerge w:val="restart"/>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contextualSpacing/>
              <w:jc w:val="both"/>
              <w:rPr>
                <w:rFonts w:ascii="Calibri" w:eastAsia="Calibri" w:hAnsi="Calibri" w:cs="Times New Roman"/>
              </w:rPr>
            </w:pPr>
            <w:r w:rsidRPr="00D35406">
              <w:rPr>
                <w:rFonts w:ascii="Times New Roman" w:eastAsia="Calibri" w:hAnsi="Times New Roman" w:cs="Times New Roman"/>
                <w:b/>
                <w:sz w:val="20"/>
                <w:szCs w:val="20"/>
              </w:rPr>
              <w:t>A keynes-i forradalom a közgazdasági elméletben</w:t>
            </w:r>
          </w:p>
        </w:tc>
      </w:tr>
      <w:tr w:rsidR="00D35406" w:rsidRPr="00D35406" w:rsidTr="00905CDA">
        <w:trPr>
          <w:trHeight w:val="73"/>
          <w:jc w:val="center"/>
        </w:trPr>
        <w:tc>
          <w:tcPr>
            <w:tcW w:w="988" w:type="dxa"/>
            <w:vMerge/>
            <w:shd w:val="clear" w:color="auto" w:fill="auto"/>
          </w:tcPr>
          <w:p w:rsidR="00D35406" w:rsidRPr="00D35406" w:rsidRDefault="00D35406" w:rsidP="00D35406">
            <w:pPr>
              <w:numPr>
                <w:ilvl w:val="0"/>
                <w:numId w:val="1"/>
              </w:numPr>
              <w:spacing w:after="0" w:line="240" w:lineRule="auto"/>
              <w:rPr>
                <w:rFonts w:ascii="Times New Roman" w:eastAsia="Calibri" w:hAnsi="Times New Roman" w:cs="Times New Roman"/>
                <w:sz w:val="20"/>
                <w:szCs w:val="20"/>
                <w:lang w:eastAsia="hu-HU"/>
              </w:rPr>
            </w:pPr>
          </w:p>
        </w:tc>
        <w:tc>
          <w:tcPr>
            <w:tcW w:w="892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féléves anyag alapján kreatív kérdések, hipotézisek megfogalmazása</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Arial Unicode MS" w:hAnsi="Times New Roman" w:cs="Times New Roman"/>
                <w:b/>
                <w:sz w:val="20"/>
                <w:szCs w:val="20"/>
                <w:lang w:eastAsia="hu-HU"/>
              </w:rPr>
              <w:t>Nemzetközi Menedzsment</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Calibri" w:hAnsi="Times New Roman" w:cs="Times New Roman"/>
                <w:b/>
                <w:sz w:val="20"/>
                <w:szCs w:val="20"/>
                <w:lang w:val="en-US" w:eastAsia="hu-HU"/>
              </w:rPr>
              <w:t>GT_MNGN018</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International Management</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0"/>
                <w:szCs w:val="20"/>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Világgazdaság és Nemzetközi Kapcsolatok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numPr>
                <w:ilvl w:val="0"/>
                <w:numId w:val="7"/>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adjunktus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 a hallgatók</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keretein belül a hallgatók megismerik a nemzetközi vállalatok, multinacionális cégek, nagy nemzetközi szervezetek irányításának, vezetésének, menedzselésének sajátosságait. Esettanulmányok, cikkek, szituációs játékok, videók elemzésének segítségével lehetőségük nyílik arra, hogy gyakorlati példákon keresztül megértsék e terület fontosságát, és az elméleti ismeretek mellett praktikus tapasztalatokat is szerezzenek a menedzsment legfontosabb területeiről.</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elméleti ismereteket szereznek a nemzetközi piac szereplőiről, a működési környezetről és a piaci szereplőket érintő kihívásokról. Az elméleti ismereteken túl a hallgatók idegen nyelvű tudományos cikkek és tanulmányok megismerésével mélyítik el tudásukat. A megszerzett tudásukat gyakorlati példákon, esettanulmányokon, feladatokon keresztül tanulják meg alkalmazni. A megoldásokat a szemináriumokon írásban és/vagy szóban előadják.</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Alapvető összefüggések felismerése és a nemzetközi környezet jelentette kihívásokat értelmezi képes innovatív, analitikus, gondolkodásmód elsajátítása. Csoportmunka keretében egy esettanulmány írásban történő feldolgozása és szóbeli prezentálása.</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tantárgy elősegíti, hogy a hallgató, megfelelő és átfogó képet kapjon a nemzetközi menedzsment témaköréről, értelmezni tudja a többszintű kormányzást, annak jelentőségét. Etikus, proaktív magatartást tanúsítson a csoportos feladatok elvégzése során és fogékony legyen az új szakmai ismerete befogadására.</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elmélet megértésével a hallgató komplex módon, az összefüggéseiket felismerve értelmezni tudja a nemzetközi piacra kilépni szándékozó és ott tevékenykedő vállalat (KKV is) piaci szerepét, helyzetét és megérti azok működését. Figyelemmel kíséri a globális környezetet érintő változásokat és képes azok alapján felelősséggel döntést hozni.</w:t>
            </w:r>
          </w:p>
          <w:p w:rsidR="00D35406" w:rsidRPr="00D35406" w:rsidRDefault="00D35406" w:rsidP="00D35406">
            <w:pPr>
              <w:spacing w:after="0" w:line="240" w:lineRule="auto"/>
              <w:ind w:left="720"/>
              <w:jc w:val="both"/>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Témakörök: A nemzetközi menedzsment alapjai; Etika és társadalmi felelősség; Kultúra; A nemzetközi üzleti élet kulturális környezete; Nemzetközi kommunikáció; Nemzetközi stratégia; Szervezeti struktúra; Nemzetközi humán erőforrás menedzsment; Tárgyalástechnika; KKV-k nemzetközi környezetben.</w:t>
            </w:r>
          </w:p>
          <w:p w:rsidR="00D35406" w:rsidRPr="00D35406" w:rsidRDefault="00D35406" w:rsidP="00D35406">
            <w:pPr>
              <w:spacing w:after="0" w:line="240" w:lineRule="auto"/>
              <w:ind w:right="138"/>
              <w:jc w:val="both"/>
              <w:rPr>
                <w:rFonts w:ascii="Times New Roman" w:eastAsia="Calibri" w:hAnsi="Times New Roman" w:cs="Times New Roman"/>
                <w:sz w:val="20"/>
                <w:szCs w:val="20"/>
                <w:lang w:eastAsia="hu-HU"/>
              </w:rPr>
            </w:pPr>
          </w:p>
        </w:tc>
      </w:tr>
      <w:tr w:rsidR="00D35406" w:rsidRPr="00D35406" w:rsidTr="00D354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hallgatók az előadásokon elméleti ismereteket szereznek, ezen ismereteiket az oktató által kijelölt idegen nyelvű tudományos cikkek és tanulmányok megismerésével és azok szemináriumokon történő megvitatásával mélyítik el. A szemináriumokon a hallgatók előre kiadott esettanulmányokat elemeznek, dolgoznak fel, azokról prezentációkat készítenek, melyeket az órákon előadnak, megvitatnak, értékelnek.</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aláírás megszerzésének feltétele:</w:t>
            </w:r>
          </w:p>
          <w:p w:rsidR="00D35406" w:rsidRPr="00D35406" w:rsidRDefault="00D35406" w:rsidP="00AF19D7">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t>
            </w:r>
            <w:r w:rsidRPr="00D35406">
              <w:rPr>
                <w:rFonts w:ascii="Times New Roman" w:eastAsia="Calibri" w:hAnsi="Times New Roman" w:cs="Times New Roman"/>
                <w:sz w:val="20"/>
                <w:szCs w:val="20"/>
                <w:lang w:eastAsia="hu-HU"/>
              </w:rPr>
              <w:tab/>
              <w:t>Aktív részvétel az órákon.</w:t>
            </w:r>
          </w:p>
          <w:p w:rsidR="00D35406" w:rsidRPr="00D35406" w:rsidRDefault="00D35406" w:rsidP="00AF19D7">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t>
            </w:r>
            <w:r w:rsidRPr="00D35406">
              <w:rPr>
                <w:rFonts w:ascii="Times New Roman" w:eastAsia="Calibri" w:hAnsi="Times New Roman" w:cs="Times New Roman"/>
                <w:sz w:val="20"/>
                <w:szCs w:val="20"/>
                <w:lang w:eastAsia="hu-HU"/>
              </w:rPr>
              <w:tab/>
              <w:t>Egy esettanulmány feldolgozása és annak prezentálása. A hallgatók a szemináriumi órák során prezentálnak egy előre kiadott esettanulmányt, melyet az elméleti órák során elsajátítottak alapján elemeznek és megoldanak.</w:t>
            </w:r>
          </w:p>
          <w:p w:rsidR="00D35406" w:rsidRPr="00D35406" w:rsidRDefault="00D35406" w:rsidP="00AF19D7">
            <w:pPr>
              <w:shd w:val="clear" w:color="auto" w:fill="E5DFEC"/>
              <w:suppressAutoHyphens/>
              <w:autoSpaceDE w:val="0"/>
              <w:spacing w:after="0" w:line="240" w:lineRule="auto"/>
              <w:ind w:left="416"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Végső jegy: írásbeli vizsga (60%) + prezentáció értékelése (40%)</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Blahó András – Czakó Erzsébet (2015): Nemzetközi menedzsment. Akadémiai Kiadó ISBN 978 963 05 9536 0</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 xml:space="preserve">Deresky, Helen (2017): International Management – Managing Across Borders and Cultures – Texts and Cases, 9th (Global) Edition, Pearson. ISBN 13: 978-1-292-15353-7 </w:t>
            </w:r>
          </w:p>
          <w:p w:rsidR="00D35406" w:rsidRPr="00D35406" w:rsidRDefault="00D35406" w:rsidP="00D35406">
            <w:pPr>
              <w:shd w:val="clear" w:color="auto" w:fill="E5DFEC"/>
              <w:suppressAutoHyphens/>
              <w:autoSpaceDE w:val="0"/>
              <w:spacing w:after="0" w:line="240" w:lineRule="auto"/>
              <w:ind w:right="113"/>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Ajánlott szakirodalom: </w:t>
            </w:r>
          </w:p>
          <w:p w:rsidR="00D35406" w:rsidRPr="00D35406" w:rsidRDefault="00D35406" w:rsidP="00D35406">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Csath Magdolna: Interkulturális menedzsment, Nemzeti Tankönyvkiadó, Budapest, 2008 ISBN 978 963 19 6319 9</w:t>
            </w:r>
          </w:p>
          <w:p w:rsidR="00D35406" w:rsidRPr="00D35406" w:rsidRDefault="00D35406" w:rsidP="00D35406">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Dr. Poór József: Nemzetköziesedés és globalizáció az emberi erőforrás menedzsmentben, Complex Kiadó, 2013 ISBN 978 963 295 287 1</w:t>
            </w:r>
          </w:p>
          <w:p w:rsidR="00D35406" w:rsidRPr="00D35406" w:rsidRDefault="00D35406" w:rsidP="00D35406">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Tóth Tamás: Nemzetközi marketing, Akadémiai Kiadó, Budapest, 2008 ISBN 978 963 05 8621 4</w:t>
            </w:r>
          </w:p>
          <w:p w:rsidR="00D35406" w:rsidRPr="00D35406" w:rsidRDefault="00D35406" w:rsidP="00D35406">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caps/>
                <w:sz w:val="20"/>
                <w:szCs w:val="20"/>
                <w:lang w:eastAsia="hu-HU"/>
              </w:rPr>
              <w:t>A</w:t>
            </w:r>
            <w:r w:rsidRPr="00D35406">
              <w:rPr>
                <w:rFonts w:ascii="Times New Roman" w:eastAsia="Calibri" w:hAnsi="Times New Roman" w:cs="Times New Roman"/>
                <w:sz w:val="20"/>
                <w:szCs w:val="20"/>
                <w:lang w:eastAsia="hu-HU"/>
              </w:rPr>
              <w:t>z oktató által folyamatosan frissített irodalomlista, melynek egy része elérhető a DEKTKNG Facebook csoportban</w:t>
            </w:r>
          </w:p>
        </w:tc>
      </w:tr>
    </w:tbl>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Heti bontott tematika</w:t>
      </w:r>
    </w:p>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527"/>
        <w:gridCol w:w="8998"/>
        <w:gridCol w:w="22"/>
      </w:tblGrid>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Hét</w:t>
            </w:r>
          </w:p>
        </w:tc>
        <w:tc>
          <w:tcPr>
            <w:tcW w:w="9020" w:type="dxa"/>
            <w:gridSpan w:val="2"/>
          </w:tcPr>
          <w:p w:rsidR="00D35406" w:rsidRPr="00D35406" w:rsidRDefault="00D35406" w:rsidP="00D35406">
            <w:pPr>
              <w:spacing w:after="0" w:line="240" w:lineRule="auto"/>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Témakörök</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Bevezetés</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félév során feldolgozásra kerülő témaköröket. Ismeri a tantárgy hallgatása által megszerezhető ismereteket.</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Nemzetköziesedés, a globalizáció folyamata </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és érti a nemzetköziesedés és a globalizáció folyamatát. Ismeri a nemzetközi környezetben működő vállalatokat érintő aktuális környezeti kihívásokat. </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3.</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Etika és társadalmi felelősség </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és érti a társadalmi felelősségvállalás fogalmát és a vállalatokra vonatkozó etikus magatartás jelentőségét.</w:t>
            </w:r>
          </w:p>
        </w:tc>
      </w:tr>
      <w:tr w:rsidR="00D35406" w:rsidRPr="00D35406" w:rsidTr="00AF19D7">
        <w:trPr>
          <w:gridBefore w:val="1"/>
          <w:wBefore w:w="12" w:type="dxa"/>
        </w:trPr>
        <w:tc>
          <w:tcPr>
            <w:tcW w:w="527" w:type="dxa"/>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4.</w:t>
            </w:r>
          </w:p>
        </w:tc>
        <w:tc>
          <w:tcPr>
            <w:tcW w:w="9020" w:type="dxa"/>
            <w:gridSpan w:val="2"/>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Kultúra, kultúra modellek</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és érti a kultúra jelentőségét a nemzetközi környezetben. </w:t>
            </w:r>
            <w:proofErr w:type="gramStart"/>
            <w:r w:rsidRPr="00D35406">
              <w:rPr>
                <w:rFonts w:ascii="Times New Roman" w:eastAsia="Calibri" w:hAnsi="Times New Roman" w:cs="Times New Roman"/>
                <w:sz w:val="20"/>
                <w:szCs w:val="20"/>
                <w:lang w:eastAsia="hu-HU"/>
              </w:rPr>
              <w:t>Tudja</w:t>
            </w:r>
            <w:proofErr w:type="gramEnd"/>
            <w:r w:rsidRPr="00D35406">
              <w:rPr>
                <w:rFonts w:ascii="Times New Roman" w:eastAsia="Calibri" w:hAnsi="Times New Roman" w:cs="Times New Roman"/>
                <w:sz w:val="20"/>
                <w:szCs w:val="20"/>
                <w:lang w:eastAsia="hu-HU"/>
              </w:rPr>
              <w:t xml:space="preserve"> értelmezi a kulturális különbözőségeket a nemzetközi üzleti életben. </w:t>
            </w:r>
          </w:p>
        </w:tc>
      </w:tr>
      <w:tr w:rsidR="00D35406" w:rsidRPr="00D35406" w:rsidTr="00AF19D7">
        <w:trPr>
          <w:gridBefore w:val="1"/>
          <w:wBefore w:w="12" w:type="dxa"/>
        </w:trPr>
        <w:tc>
          <w:tcPr>
            <w:tcW w:w="527" w:type="dxa"/>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5. </w:t>
            </w:r>
          </w:p>
        </w:tc>
        <w:tc>
          <w:tcPr>
            <w:tcW w:w="9020" w:type="dxa"/>
            <w:gridSpan w:val="2"/>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Vállalati kultúra nemzetközi környezetben</w:t>
            </w:r>
          </w:p>
          <w:p w:rsidR="00D35406" w:rsidRPr="00D35406" w:rsidRDefault="00D35406" w:rsidP="00D35406">
            <w:pPr>
              <w:spacing w:after="0" w:line="240" w:lineRule="auto"/>
              <w:ind w:left="132"/>
              <w:jc w:val="both"/>
              <w:rPr>
                <w:rFonts w:ascii="Times New Roman" w:eastAsia="Calibri" w:hAnsi="Times New Roman" w:cs="Times New Roman"/>
                <w:bCs/>
                <w:sz w:val="20"/>
                <w:szCs w:val="20"/>
                <w:lang w:eastAsia="hu-HU"/>
              </w:rPr>
            </w:pPr>
            <w:r w:rsidRPr="00D35406">
              <w:rPr>
                <w:rFonts w:ascii="Times New Roman" w:eastAsia="Calibri" w:hAnsi="Times New Roman" w:cs="Times New Roman"/>
                <w:bCs/>
                <w:sz w:val="20"/>
                <w:szCs w:val="20"/>
                <w:lang w:eastAsia="hu-HU"/>
              </w:rPr>
              <w:t xml:space="preserve">TE: </w:t>
            </w:r>
            <w:r w:rsidRPr="00D35406">
              <w:rPr>
                <w:rFonts w:ascii="Times New Roman" w:eastAsia="Calibri" w:hAnsi="Times New Roman" w:cs="Times New Roman"/>
                <w:color w:val="212529"/>
                <w:sz w:val="20"/>
                <w:szCs w:val="20"/>
                <w:shd w:val="clear" w:color="auto" w:fill="FFFFFF"/>
                <w:lang w:eastAsia="hu-HU"/>
              </w:rPr>
              <w:t>át fogja látni a nemzeti kultúra és a vállalati kultúra közötti összefüggésrendszert; jellemezni tudja a vállalati/szervezeti kultúra főbb modelljeinek kultúracsoportjait.</w:t>
            </w:r>
          </w:p>
        </w:tc>
      </w:tr>
      <w:tr w:rsidR="00D35406" w:rsidRPr="00D35406" w:rsidTr="00AF19D7">
        <w:trPr>
          <w:gridBefore w:val="1"/>
          <w:wBefore w:w="12" w:type="dxa"/>
        </w:trPr>
        <w:tc>
          <w:tcPr>
            <w:tcW w:w="527" w:type="dxa"/>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6.</w:t>
            </w:r>
          </w:p>
        </w:tc>
        <w:tc>
          <w:tcPr>
            <w:tcW w:w="9020" w:type="dxa"/>
            <w:gridSpan w:val="2"/>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Kommunikáció nemzetközi környezetben 1.</w:t>
            </w:r>
          </w:p>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sz w:val="20"/>
                <w:szCs w:val="20"/>
                <w:lang w:eastAsia="hu-HU"/>
              </w:rPr>
              <w:t>TE: Ismeri és érti a kultúra és kommunikáció jelentőségét, kapcsolatát a nemzetközi környezetben. Tudatosabban kommunikál nemzetközi környezetben. Különösen figyel a non-verbális kommunikáció jelentőségére</w:t>
            </w:r>
            <w:r w:rsidRPr="00D35406">
              <w:rPr>
                <w:rFonts w:ascii="Times New Roman" w:eastAsia="Calibri" w:hAnsi="Times New Roman" w:cs="Times New Roman"/>
                <w:b/>
                <w:sz w:val="20"/>
                <w:szCs w:val="20"/>
                <w:lang w:eastAsia="hu-HU"/>
              </w:rPr>
              <w:t xml:space="preserve">. </w:t>
            </w:r>
          </w:p>
        </w:tc>
      </w:tr>
      <w:tr w:rsidR="00D35406" w:rsidRPr="00D35406" w:rsidTr="00AF19D7">
        <w:trPr>
          <w:gridBefore w:val="1"/>
          <w:wBefore w:w="12" w:type="dxa"/>
        </w:trPr>
        <w:tc>
          <w:tcPr>
            <w:tcW w:w="527" w:type="dxa"/>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7. </w:t>
            </w:r>
          </w:p>
        </w:tc>
        <w:tc>
          <w:tcPr>
            <w:tcW w:w="9020" w:type="dxa"/>
            <w:gridSpan w:val="2"/>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Kommunikáció nemzetközi környezetben 2. (Vállalatok nemzetközi kommunikációja)</w:t>
            </w:r>
          </w:p>
          <w:p w:rsidR="00D35406" w:rsidRPr="00D35406" w:rsidRDefault="00D35406" w:rsidP="00D35406">
            <w:pPr>
              <w:spacing w:after="0" w:line="240" w:lineRule="auto"/>
              <w:ind w:left="199"/>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és érti a kultúra és kommunikáció jelentőségét, kapcsolatát a nemzetközi környezetben. Tudatosabban kommunikál nemzetközi környezetben. Ismeri a nemzetközi vállalati kommunikáció menedzsmentet.</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8.</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Nemzetközi vállalatok stratégiai menedzsmentje</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és érti a nemzetközi stratégiákat, azok közötti különbséget. Képes megfelelő stratégia kiválasztására és alkalmazására. Ismeri és érti a nemzetközi stratégiákat, azok közötti különbséget. Képes megfelelő stratégia kiválasztására és alkalmazására.</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9.</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Szervezeti formák és azok változásai nemzetközi környezetben</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Érti a struktúra különböző formáit és azok előnyeit, hátrányait. Értelmezni tudja a nemzetközi környezetben működő vállalatok komplex szervezeti struktúráit.</w:t>
            </w:r>
          </w:p>
        </w:tc>
      </w:tr>
      <w:tr w:rsidR="00D35406" w:rsidRPr="00D35406" w:rsidTr="00AF19D7">
        <w:trPr>
          <w:gridAfter w:val="1"/>
          <w:wAfter w:w="22" w:type="dxa"/>
          <w:trHeight w:val="330"/>
        </w:trPr>
        <w:tc>
          <w:tcPr>
            <w:tcW w:w="539" w:type="dxa"/>
            <w:gridSpan w:val="2"/>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10.</w:t>
            </w:r>
          </w:p>
        </w:tc>
        <w:tc>
          <w:tcPr>
            <w:tcW w:w="8998" w:type="dxa"/>
          </w:tcPr>
          <w:p w:rsidR="00D35406" w:rsidRPr="00D35406" w:rsidRDefault="00D35406" w:rsidP="00D35406">
            <w:pPr>
              <w:spacing w:after="0" w:line="240" w:lineRule="auto"/>
              <w:ind w:left="199"/>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Nemzetközi konszernek, holdingok irányítása</w:t>
            </w:r>
          </w:p>
          <w:p w:rsidR="00D35406" w:rsidRPr="00D35406" w:rsidRDefault="00D35406" w:rsidP="00D35406">
            <w:pPr>
              <w:shd w:val="clear" w:color="auto" w:fill="FFFFFF"/>
              <w:spacing w:after="0" w:line="240" w:lineRule="auto"/>
              <w:ind w:left="130"/>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Megérti a konszern- és holdingirányítás alapvető szervezeti formáit, megismeri ezen irányítási forma alkalmazását nemzetközi keretek között</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11.</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Tárgyalástechnika</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nemzetközi protokollra vonatkozó fontosabb szabályokat és képes azok alkalmazására is.</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12.</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Nemzetközi humán erőforrás menedzsment 1. </w:t>
            </w:r>
          </w:p>
          <w:p w:rsidR="00D35406" w:rsidRPr="00D35406" w:rsidRDefault="00D35406" w:rsidP="00D35406">
            <w:pPr>
              <w:spacing w:after="0" w:line="240" w:lineRule="auto"/>
              <w:ind w:left="132"/>
              <w:jc w:val="both"/>
              <w:rPr>
                <w:rFonts w:ascii="Times New Roman" w:eastAsia="Calibri" w:hAnsi="Times New Roman" w:cs="Times New Roman"/>
                <w:i/>
                <w:sz w:val="20"/>
                <w:szCs w:val="20"/>
                <w:lang w:eastAsia="hu-HU"/>
              </w:rPr>
            </w:pPr>
            <w:r w:rsidRPr="00D35406">
              <w:rPr>
                <w:rFonts w:ascii="Times New Roman" w:eastAsia="Calibri" w:hAnsi="Times New Roman" w:cs="Times New Roman"/>
                <w:sz w:val="20"/>
                <w:szCs w:val="20"/>
                <w:lang w:eastAsia="hu-HU"/>
              </w:rPr>
              <w:t>TE: Értelmezni tudja a munkaerő beszerzés, javadalmazás, fejlesztés, motiváció kérdéskörét nemzetközi környezetben.</w:t>
            </w:r>
          </w:p>
        </w:tc>
      </w:tr>
      <w:tr w:rsidR="00D35406" w:rsidRPr="00D35406" w:rsidTr="00AF19D7">
        <w:trPr>
          <w:gridBefore w:val="1"/>
          <w:wBefore w:w="12" w:type="dxa"/>
          <w:trHeight w:val="342"/>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13.</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Nemzetközi humán erőforrás menedzsment 2. </w:t>
            </w:r>
          </w:p>
          <w:p w:rsidR="00D35406" w:rsidRPr="00D35406" w:rsidRDefault="00D35406" w:rsidP="00D35406">
            <w:pPr>
              <w:spacing w:after="0" w:line="240" w:lineRule="auto"/>
              <w:ind w:left="132"/>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Érti és ismeri az expatriate fogalmát. Ismeri az expatriate-ok kiküldetésével, fogadásával, gondozásával és visszahívásával kapcsolatok feladatokat és higgadtan, empatikusan képes reagálni a nehéz szituációkban is.</w:t>
            </w:r>
          </w:p>
        </w:tc>
      </w:tr>
      <w:tr w:rsidR="00D35406" w:rsidRPr="00D35406" w:rsidTr="00AF19D7">
        <w:trPr>
          <w:gridBefore w:val="1"/>
          <w:wBefore w:w="12" w:type="dxa"/>
        </w:trPr>
        <w:tc>
          <w:tcPr>
            <w:tcW w:w="527" w:type="dxa"/>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14. </w:t>
            </w:r>
          </w:p>
        </w:tc>
        <w:tc>
          <w:tcPr>
            <w:tcW w:w="9020" w:type="dxa"/>
            <w:gridSpan w:val="2"/>
          </w:tcPr>
          <w:p w:rsidR="00D35406" w:rsidRPr="00D35406" w:rsidRDefault="00D35406" w:rsidP="00D35406">
            <w:pPr>
              <w:spacing w:after="0" w:line="240" w:lineRule="auto"/>
              <w:ind w:left="132"/>
              <w:jc w:val="both"/>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KKV-k nemzetközi környezetben</w:t>
            </w:r>
          </w:p>
          <w:p w:rsidR="00D35406" w:rsidRPr="00D35406" w:rsidRDefault="00D35406" w:rsidP="00D35406">
            <w:pPr>
              <w:spacing w:after="0" w:line="240" w:lineRule="auto"/>
              <w:ind w:left="132"/>
              <w:jc w:val="both"/>
              <w:rPr>
                <w:rFonts w:ascii="Times New Roman" w:eastAsia="Calibri" w:hAnsi="Times New Roman" w:cs="Times New Roman"/>
                <w:i/>
                <w:sz w:val="20"/>
                <w:szCs w:val="20"/>
                <w:lang w:eastAsia="hu-HU"/>
              </w:rPr>
            </w:pPr>
            <w:r w:rsidRPr="00D35406">
              <w:rPr>
                <w:rFonts w:ascii="Times New Roman" w:eastAsia="Calibri" w:hAnsi="Times New Roman" w:cs="Times New Roman"/>
                <w:sz w:val="20"/>
                <w:szCs w:val="20"/>
                <w:lang w:eastAsia="hu-HU"/>
              </w:rPr>
              <w:t xml:space="preserve">TE: </w:t>
            </w:r>
            <w:r w:rsidRPr="00D35406">
              <w:rPr>
                <w:rFonts w:ascii="Times New Roman" w:eastAsia="Calibri" w:hAnsi="Times New Roman" w:cs="Times New Roman"/>
                <w:color w:val="212529"/>
                <w:sz w:val="20"/>
                <w:szCs w:val="20"/>
                <w:shd w:val="clear" w:color="auto" w:fill="FFFFFF"/>
                <w:lang w:eastAsia="hu-HU"/>
              </w:rPr>
              <w:t>megérti a kisvállalatok nemzetköziesedésének sajátosságait; megismeri a kisvállalatok nemzetköziesedésére ható gátló és előrevivő tényezőket</w:t>
            </w:r>
          </w:p>
        </w:tc>
      </w:tr>
    </w:tbl>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Arial Unicode MS" w:hAnsi="Times New Roman" w:cs="Times New Roman"/>
                <w:b/>
                <w:sz w:val="20"/>
                <w:szCs w:val="20"/>
                <w:lang w:eastAsia="hu-HU"/>
              </w:rPr>
              <w:t>Nemzetközi Számvitel és Információs Renszerei</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Arial Unicode MS" w:hAnsi="Times New Roman" w:cs="Times New Roman"/>
                <w:b/>
                <w:sz w:val="20"/>
                <w:szCs w:val="20"/>
                <w:lang w:eastAsia="hu-HU"/>
              </w:rPr>
              <w:t>GT_MNGN022-17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989"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International Accounting and Information systems</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4"/>
                <w:szCs w:val="24"/>
                <w:lang w:eastAsia="hu-HU"/>
              </w:rPr>
            </w:pPr>
          </w:p>
        </w:tc>
      </w:tr>
      <w:tr w:rsidR="00D35406" w:rsidRPr="00D35406" w:rsidTr="00D3540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 DE GTK Számviteli és Pénzügyi Intézet</w:t>
            </w:r>
          </w:p>
        </w:tc>
      </w:tr>
      <w:tr w:rsidR="00D35406" w:rsidRPr="00D35406" w:rsidTr="00D3540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406"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Calibri" w:hAnsi="Times New Roman" w:cs="Times New Roman"/>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406"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1279"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neve: </w:t>
            </w:r>
          </w:p>
        </w:tc>
        <w:tc>
          <w:tcPr>
            <w:tcW w:w="2704" w:type="dxa"/>
            <w:gridSpan w:val="3"/>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b/>
                <w:sz w:val="20"/>
                <w:szCs w:val="20"/>
                <w:lang w:eastAsia="hu-HU"/>
              </w:rPr>
            </w:pPr>
            <w:r w:rsidRPr="00D35406">
              <w:rPr>
                <w:rFonts w:ascii="Times New Roman" w:eastAsia="Calibri" w:hAnsi="Times New Roman" w:cs="Times New Roman"/>
                <w:b/>
                <w:sz w:val="20"/>
                <w:szCs w:val="20"/>
                <w:lang w:eastAsia="hu-HU"/>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egyetemi docens</w:t>
            </w:r>
          </w:p>
        </w:tc>
      </w:tr>
      <w:tr w:rsidR="00D35406" w:rsidRPr="00D35406" w:rsidTr="00D3540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képzés célja, hogy a hallgatók megismerjék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nemzetközi számviteli, pénzügyi beszámolási rendszereket, azok jellegzetességeit,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 az IFRS beszámoló tartalmi és formai követelményeit,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az általános és a sajátos értékelési szabályokat,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beszámolóból nyerhető információk, és azok hasznosításának lehetőségeit.</w:t>
            </w:r>
          </w:p>
        </w:tc>
      </w:tr>
      <w:tr w:rsidR="00D35406" w:rsidRPr="00D35406" w:rsidTr="00D35406">
        <w:trPr>
          <w:cantSplit/>
          <w:trHeight w:val="1400"/>
        </w:trPr>
        <w:tc>
          <w:tcPr>
            <w:tcW w:w="9939" w:type="dxa"/>
            <w:gridSpan w:val="13"/>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Tanulás eredmények, kompetenciák: </w:t>
            </w:r>
          </w:p>
          <w:p w:rsidR="00D35406" w:rsidRPr="00D35406" w:rsidRDefault="00D35406" w:rsidP="00D35406">
            <w:pPr>
              <w:spacing w:after="0" w:line="240" w:lineRule="auto"/>
              <w:ind w:left="402"/>
              <w:jc w:val="both"/>
              <w:rPr>
                <w:rFonts w:ascii="Times New Roman" w:eastAsia="Calibri" w:hAnsi="Times New Roman" w:cs="Times New Roman"/>
                <w:i/>
                <w:sz w:val="16"/>
                <w:szCs w:val="16"/>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ismeri és érti a gazdálkodó szervezetek struktúráját, működését és hazai, illetve nemzeti határokon túlnyúló kapcsolatrendszerét. Ismeri és érti a nemzetközi üzleti, számviteli, pénzügyi folyamatok beazonosítására alkalmas szakértői tudás alapjait, a szakterület szerint releváns információgyűjtési,</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hatékony nemzetközi üzleti stratégiák kidolgozására. </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hallgató innovatív és proaktív magatartást tanúsít a gazdasági problémák kezelésében, nyitott és befogadó a gazdaságtudomány és gyakorlat új eredményei iránt. </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Szervezetpolitikai, stratégiai, irányítási szempontból jelentős területeken is önállóan választja ki és alkalmazza a releváns problémamegoldási módszereket, önállóan lát el gazdasági elemző, döntés-előkészítő, tanácsadói feladatokat. </w:t>
            </w:r>
          </w:p>
        </w:tc>
      </w:tr>
      <w:tr w:rsidR="00D35406" w:rsidRPr="00D35406" w:rsidTr="00D3540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tartalma, témakörei</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számviteli, pénzügyi beszámolási rendszerek,  IFRS beszámoló tartalmi és formai követelményei, az általános és a sajátos értékelési szabályok, a beszámolóból nyerhető </w:t>
            </w:r>
            <w:proofErr w:type="gramStart"/>
            <w:r w:rsidRPr="00D35406">
              <w:rPr>
                <w:rFonts w:ascii="Times New Roman" w:eastAsia="Calibri" w:hAnsi="Times New Roman" w:cs="Times New Roman"/>
                <w:sz w:val="20"/>
                <w:szCs w:val="20"/>
                <w:lang w:eastAsia="hu-HU"/>
              </w:rPr>
              <w:t>információk</w:t>
            </w:r>
            <w:proofErr w:type="gramEnd"/>
            <w:r w:rsidRPr="00D35406">
              <w:rPr>
                <w:rFonts w:ascii="Times New Roman" w:eastAsia="Calibri" w:hAnsi="Times New Roman" w:cs="Times New Roman"/>
                <w:sz w:val="20"/>
                <w:szCs w:val="20"/>
                <w:lang w:eastAsia="hu-HU"/>
              </w:rPr>
              <w:t>, azok hasznosításának lehetőségei.</w:t>
            </w:r>
          </w:p>
          <w:p w:rsidR="00D35406" w:rsidRPr="00D35406" w:rsidRDefault="00D35406" w:rsidP="00D35406">
            <w:pPr>
              <w:spacing w:after="0" w:line="240" w:lineRule="auto"/>
              <w:ind w:right="138"/>
              <w:jc w:val="both"/>
              <w:rPr>
                <w:rFonts w:ascii="Times New Roman" w:eastAsia="Calibri" w:hAnsi="Times New Roman" w:cs="Times New Roman"/>
                <w:sz w:val="20"/>
                <w:szCs w:val="20"/>
                <w:lang w:eastAsia="hu-HU"/>
              </w:rPr>
            </w:pPr>
          </w:p>
        </w:tc>
      </w:tr>
      <w:tr w:rsidR="00D35406" w:rsidRPr="00D35406" w:rsidTr="00D35406">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Elméleti és gyakorlati ismertek átadása illusztratív példákon keresztül.</w:t>
            </w:r>
          </w:p>
        </w:tc>
      </w:tr>
      <w:tr w:rsidR="00D35406" w:rsidRPr="00D35406" w:rsidTr="002A6B68">
        <w:trPr>
          <w:trHeight w:val="566"/>
        </w:trPr>
        <w:tc>
          <w:tcPr>
            <w:tcW w:w="9939" w:type="dxa"/>
            <w:gridSpan w:val="13"/>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b/>
                <w:sz w:val="20"/>
                <w:szCs w:val="20"/>
                <w:lang w:eastAsia="hu-HU"/>
              </w:rPr>
            </w:pPr>
            <w:r w:rsidRPr="00D35406">
              <w:rPr>
                <w:rFonts w:ascii="Times New Roman" w:eastAsia="Calibri" w:hAnsi="Times New Roman" w:cs="Times New Roman"/>
                <w:b/>
                <w:bCs/>
                <w:sz w:val="20"/>
                <w:szCs w:val="20"/>
                <w:lang w:eastAsia="hu-HU"/>
              </w:rPr>
              <w:t xml:space="preserve">Aláírás megszerzése: </w:t>
            </w:r>
            <w:r w:rsidRPr="00D35406">
              <w:rPr>
                <w:rFonts w:ascii="Times New Roman" w:eastAsia="Calibri" w:hAnsi="Times New Roman" w:cs="Times New Roman"/>
                <w:sz w:val="20"/>
                <w:szCs w:val="20"/>
                <w:lang w:eastAsia="hu-HU"/>
              </w:rPr>
              <w:t>A félévi aláírás megszerzésének feltétele, hogy a hallgatók a gyakorlatokat rendszeresen látogassák, az igazolatlan hiányzások mértéke az egész félévet tekintve nem haladhatja meg az órák 30%-át. Az aláírás feltétele továbbá egy választott vállalkozás nemzetközi beszámolója felépítésének, részeinek, sajátosságainak bemutatása prezentáció formájában.</w:t>
            </w: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Érdemjegy megszerzése: </w:t>
            </w:r>
            <w:r w:rsidRPr="00D35406">
              <w:rPr>
                <w:rFonts w:ascii="Times New Roman" w:eastAsia="Calibri" w:hAnsi="Times New Roman" w:cs="Times New Roman"/>
                <w:sz w:val="20"/>
                <w:szCs w:val="20"/>
                <w:lang w:eastAsia="hu-HU"/>
              </w:rPr>
              <w:t xml:space="preserve">A vizsgáztatás az e-learning rendszeren keresztül valósul meg a vizsgaidőszakban egy online feladatsor kitöltésével. A feladatsor elméleti és gyakorlati feladatokat is tartalmaz. A vizsgát az a hallgató kezdheti meg az e-learning rendszerben, aki korábban a Neptun rendszerben meghirdetett vizsgaidőpontra feljelentkezett az adott napi vizsgára. A vizsga feladat jelszavát a Neptun rendszerben fogjuk kiküldeni az adott vizsganapra feljelentkezett hallgatóknak. </w:t>
            </w: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feladatsor értékelése és ezzel a végső érdemjegy kialakítása a következőképpen történik: 60% felett 2 (elégséges), 70% felett 3 (közepes), 80% felett 4 (jó), 90% felett 5 (jeles) érdemjegy adható. </w:t>
            </w:r>
          </w:p>
        </w:tc>
      </w:tr>
      <w:tr w:rsidR="00D35406" w:rsidRPr="00D35406" w:rsidTr="00D3540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lang w:eastAsia="hu-HU"/>
              </w:rPr>
            </w:pPr>
            <w:r w:rsidRPr="00D35406">
              <w:rPr>
                <w:rFonts w:ascii="Times New Roman" w:eastAsia="Calibri" w:hAnsi="Times New Roman" w:cs="Times New Roman"/>
                <w:b/>
                <w:bCs/>
                <w:lang w:eastAsia="hu-HU"/>
              </w:rPr>
              <w:lastRenderedPageBreak/>
              <w:t>Kötelező olvasmány:</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Bartha Ágnes - Gellért Henriett – Madarasiné dr. Szirmai Andrea: Nemzetközi számviteli ismeretek, Perfekt, 2016</w:t>
            </w:r>
          </w:p>
          <w:p w:rsidR="00D35406" w:rsidRPr="00D35406" w:rsidRDefault="00D35406" w:rsidP="00346B5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előadásokon és a szemináriumokon kiadott anyagok, feladatok és a kar Moodle</w:t>
            </w:r>
            <w:r w:rsidR="00346B5E">
              <w:rPr>
                <w:rFonts w:ascii="Times New Roman" w:eastAsia="Calibri" w:hAnsi="Times New Roman" w:cs="Times New Roman"/>
                <w:sz w:val="20"/>
                <w:szCs w:val="20"/>
                <w:lang w:eastAsia="hu-HU"/>
              </w:rPr>
              <w:t xml:space="preserve"> oldalára feltöltött tananyagok</w:t>
            </w:r>
          </w:p>
          <w:p w:rsidR="00D35406" w:rsidRPr="00D35406" w:rsidRDefault="00D35406" w:rsidP="00D35406">
            <w:pPr>
              <w:spacing w:after="0" w:line="240" w:lineRule="auto"/>
              <w:rPr>
                <w:rFonts w:ascii="Times New Roman" w:eastAsia="Calibri" w:hAnsi="Times New Roman" w:cs="Times New Roman"/>
                <w:bCs/>
                <w:lang w:eastAsia="hu-HU"/>
              </w:rPr>
            </w:pPr>
            <w:r w:rsidRPr="00D35406">
              <w:rPr>
                <w:rFonts w:ascii="Times New Roman" w:eastAsia="Calibri" w:hAnsi="Times New Roman" w:cs="Times New Roman"/>
                <w:bCs/>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Lakatos – Kovács – Mohl – Rózsa – Szirmai: NEMZETKÖZI PÉNZÜGYI BESZÁMOLÁSI STANDARDOK elmélete és gyakorlata 2013. Magyarázatok és példák. MKVK</w:t>
            </w:r>
            <w:r w:rsidRPr="00D35406">
              <w:rPr>
                <w:rFonts w:ascii="Times New Roman" w:eastAsia="Calibri" w:hAnsi="Times New Roman" w:cs="Times New Roman"/>
                <w:sz w:val="20"/>
                <w:szCs w:val="20"/>
                <w:lang w:eastAsia="hu-HU"/>
              </w:rPr>
              <w:tab/>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Rózsa – Bűdy – Karai: IFRS Példatár, Hessyn Informatikai és Oktatási Kft, 2016.</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roofErr w:type="gramStart"/>
            <w:r w:rsidRPr="00D35406">
              <w:rPr>
                <w:rFonts w:ascii="Times New Roman" w:eastAsia="Calibri" w:hAnsi="Times New Roman" w:cs="Times New Roman"/>
                <w:sz w:val="20"/>
                <w:szCs w:val="20"/>
                <w:lang w:eastAsia="hu-HU"/>
              </w:rPr>
              <w:t>IFRS  szerinti</w:t>
            </w:r>
            <w:proofErr w:type="gramEnd"/>
            <w:r w:rsidRPr="00D35406">
              <w:rPr>
                <w:rFonts w:ascii="Times New Roman" w:eastAsia="Calibri" w:hAnsi="Times New Roman" w:cs="Times New Roman"/>
                <w:sz w:val="20"/>
                <w:szCs w:val="20"/>
                <w:lang w:eastAsia="hu-HU"/>
              </w:rPr>
              <w:t xml:space="preserve"> beszámolók tanulmányozása (interneten számos megtalálható)</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Számvitel </w:t>
            </w:r>
            <w:proofErr w:type="gramStart"/>
            <w:r w:rsidRPr="00D35406">
              <w:rPr>
                <w:rFonts w:ascii="Times New Roman" w:eastAsia="Calibri" w:hAnsi="Times New Roman" w:cs="Times New Roman"/>
                <w:sz w:val="20"/>
                <w:szCs w:val="20"/>
                <w:lang w:eastAsia="hu-HU"/>
              </w:rPr>
              <w:t>–  Adó</w:t>
            </w:r>
            <w:proofErr w:type="gramEnd"/>
            <w:r w:rsidRPr="00D35406">
              <w:rPr>
                <w:rFonts w:ascii="Times New Roman" w:eastAsia="Calibri" w:hAnsi="Times New Roman" w:cs="Times New Roman"/>
                <w:sz w:val="20"/>
                <w:szCs w:val="20"/>
                <w:lang w:eastAsia="hu-HU"/>
              </w:rPr>
              <w:t xml:space="preserve"> - Könyvvizsgálat szakmai folyóirat IFRS témájú cikkei</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International Accounting Standards Board www. iasb.org.uk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Deloitte: http://www.iasplus.com/fs/fs.htm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PWC anyagok: http://www.pwc.com/gx/en/ifrs-reporting/index.jhtml</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Ernst &amp; Young anyagok: http://www.ey.com/GL/en/Issues/Governance-and-reporting/IFRS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http://www.iasplus.com/index.htm</w:t>
            </w:r>
          </w:p>
          <w:p w:rsidR="00D35406" w:rsidRPr="00D35406" w:rsidRDefault="00346B5E" w:rsidP="00346B5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http://www.ifrs.org/Home.htm</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 </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NAPPALI TAGOZAT</w:t>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számvitel nemzetközi szabályozása, nemzetközi számviteli rendszerek. </w:t>
            </w:r>
            <w:r w:rsidR="00780616">
              <w:rPr>
                <w:rFonts w:ascii="Times New Roman" w:eastAsia="Calibri" w:hAnsi="Times New Roman" w:cs="Times New Roman"/>
                <w:sz w:val="20"/>
                <w:szCs w:val="20"/>
                <w:lang w:eastAsia="hu-HU"/>
              </w:rPr>
              <w:pict>
                <v:rect id="_x0000_i1025"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a számvitel nemzetközi szabályozását.  </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Harmonizáció. Számviteli szabályozás az EU-ban. </w:t>
            </w:r>
            <w:r w:rsidR="00780616">
              <w:rPr>
                <w:rFonts w:ascii="Times New Roman" w:eastAsia="Calibri" w:hAnsi="Times New Roman" w:cs="Times New Roman"/>
                <w:sz w:val="20"/>
                <w:szCs w:val="20"/>
                <w:lang w:eastAsia="hu-HU"/>
              </w:rPr>
              <w:pict>
                <v:rect id="_x0000_i1026"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roofErr w:type="gramStart"/>
            <w:r w:rsidRPr="00D35406">
              <w:rPr>
                <w:rFonts w:ascii="Times New Roman" w:eastAsia="Calibri" w:hAnsi="Times New Roman" w:cs="Times New Roman"/>
                <w:sz w:val="20"/>
                <w:szCs w:val="20"/>
                <w:lang w:eastAsia="hu-HU"/>
              </w:rPr>
              <w:t>:Ismeri</w:t>
            </w:r>
            <w:proofErr w:type="gramEnd"/>
            <w:r w:rsidRPr="00D35406">
              <w:rPr>
                <w:rFonts w:ascii="Times New Roman" w:eastAsia="Calibri" w:hAnsi="Times New Roman" w:cs="Times New Roman"/>
                <w:sz w:val="20"/>
                <w:szCs w:val="20"/>
                <w:lang w:eastAsia="hu-HU"/>
              </w:rPr>
              <w:t xml:space="preserve"> a számvitel nemzetközi, regionális és nemzeti szabályozását.</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Szabályozás standardokkal (IFRS). Az IFRS jogi környezete, kapcsolata az EU szabályozással.</w:t>
            </w:r>
            <w:r w:rsidR="00780616">
              <w:rPr>
                <w:rFonts w:ascii="Times New Roman" w:eastAsia="Calibri" w:hAnsi="Times New Roman" w:cs="Times New Roman"/>
                <w:sz w:val="20"/>
                <w:szCs w:val="20"/>
                <w:lang w:eastAsia="hu-HU"/>
              </w:rPr>
              <w:pict>
                <v:rect id="_x0000_i1027"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w:t>
            </w:r>
            <w:proofErr w:type="gramStart"/>
            <w:r w:rsidRPr="00D35406">
              <w:rPr>
                <w:rFonts w:ascii="Times New Roman" w:eastAsia="Calibri" w:hAnsi="Times New Roman" w:cs="Times New Roman"/>
                <w:sz w:val="20"/>
                <w:szCs w:val="20"/>
                <w:lang w:eastAsia="hu-HU"/>
              </w:rPr>
              <w:t>:Ismeri</w:t>
            </w:r>
            <w:proofErr w:type="gramEnd"/>
            <w:r w:rsidRPr="00D35406">
              <w:rPr>
                <w:rFonts w:ascii="Times New Roman" w:eastAsia="Calibri" w:hAnsi="Times New Roman" w:cs="Times New Roman"/>
                <w:sz w:val="20"/>
                <w:szCs w:val="20"/>
                <w:lang w:eastAsia="hu-HU"/>
              </w:rPr>
              <w:t xml:space="preserve"> a standardokkal történő szabályozás lényegét, az IFRS jogi környezetét, és kapcsolatát az EU szabályozással.</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Nemzetközi Pénzügyi Beszámolási Standardok Keretelvei (Framework). </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8"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Nemzetközi Pénzügyi Beszámolási Standardok Keretelveit (Framework).</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IFRS-ek szerinti pénzügyi kimutatások tartalmára, felépítésére, szerkezetére vonatkozó elvárások (IAS 1).</w:t>
            </w:r>
            <w:r w:rsidRPr="00D35406">
              <w:rPr>
                <w:rFonts w:ascii="Times New Roman" w:eastAsia="Times New Roman" w:hAnsi="Times New Roman" w:cs="Times New Roman"/>
                <w:color w:val="000000"/>
                <w:sz w:val="20"/>
                <w:szCs w:val="20"/>
              </w:rPr>
              <w:t xml:space="preserve"> A pénzügyi helyzet kimutatása.</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9"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az IFRS-ek szerinti pénzügyi kimutatások tartalmára, felépítésére, szerkezetére vonatkozó elvárásokat (IAS 1), a pénzügyi helyzet kimutatására vonatkozó előírásokat.</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Tavaszi szünet</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IFRS-ek szerinti pénzügyi kimutatások tartalmára, felépítésére, szerkezetére vonatkozó elvárások (IAS 1).</w:t>
            </w:r>
            <w:r w:rsidRPr="00D35406">
              <w:rPr>
                <w:rFonts w:ascii="Times New Roman" w:eastAsia="Times New Roman" w:hAnsi="Times New Roman" w:cs="Times New Roman"/>
                <w:color w:val="000000"/>
                <w:sz w:val="20"/>
                <w:szCs w:val="20"/>
              </w:rPr>
              <w:t xml:space="preserve"> Az átfogó eredménykimutatás.</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0"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az IFRS-ek szerinti pénzügyi kimutatások tartalmára, felépítésére, szerkezetére vonatkozó elvárásokat (IAS 1), az átfogó eredménykimutatásra vonatkozó előírásokat.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IFRS-ek szerinti pénzügyi kimutatások tartalmára, felépítésére, szerkezetére vonatkozó elvárások (IAS 1).</w:t>
            </w:r>
            <w:r w:rsidRPr="00D35406">
              <w:rPr>
                <w:rFonts w:ascii="Times New Roman" w:eastAsia="Times New Roman" w:hAnsi="Times New Roman" w:cs="Times New Roman"/>
                <w:color w:val="000000"/>
                <w:sz w:val="20"/>
                <w:szCs w:val="20"/>
              </w:rPr>
              <w:t xml:space="preserve"> A saját tőke változás kimutatása. </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1"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az IFRS-ek szerinti pénzügyi kimutatások tartalmára, felépítésére, szerkezetére vonatkozó elvárásokat (IAS 1), a saját tőke változás kimutatásra vonatkozó előírásokat.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IFRS-ek szerinti pénzügyi kimutatások tartalmára, felépítésére, szerkezetére vonatkozó elvárások (IAS 1).</w:t>
            </w:r>
            <w:r w:rsidRPr="00D35406">
              <w:rPr>
                <w:rFonts w:ascii="Times New Roman" w:eastAsia="Times New Roman" w:hAnsi="Times New Roman" w:cs="Times New Roman"/>
                <w:color w:val="000000"/>
                <w:sz w:val="20"/>
                <w:szCs w:val="20"/>
              </w:rPr>
              <w:t xml:space="preserve"> A Cash-flow kimutatás. A Notes.</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2"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az IFRS-ek szerinti pénzügyi kimutatások tartalmára, felépítésére, szerkezetére vonatkozó elvárásokat (IAS 1), a cash-flow kimutatásra és a Notes-ra vonatkozó előírásokat.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Times New Roman" w:hAnsi="Times New Roman" w:cs="Times New Roman"/>
                <w:color w:val="000000"/>
                <w:sz w:val="20"/>
                <w:szCs w:val="20"/>
              </w:rPr>
              <w:t xml:space="preserve">IFRS 5 Értékesítésre tartott befektetett eszközök és megszűnt tevékenységek </w:t>
            </w:r>
            <w:r w:rsidR="00780616">
              <w:rPr>
                <w:rFonts w:ascii="Times New Roman" w:eastAsia="Calibri" w:hAnsi="Times New Roman" w:cs="Times New Roman"/>
                <w:sz w:val="20"/>
                <w:szCs w:val="20"/>
                <w:lang w:eastAsia="hu-HU"/>
              </w:rPr>
              <w:pict>
                <v:rect id="_x0000_i1033"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az IFRS 5 előírásait. </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Times New Roman" w:hAnsi="Times New Roman" w:cs="Times New Roman"/>
                <w:color w:val="000000"/>
                <w:sz w:val="20"/>
                <w:szCs w:val="20"/>
              </w:rPr>
              <w:t xml:space="preserve">IFRS 8 Működési szegmensek </w:t>
            </w:r>
            <w:r w:rsidR="00780616">
              <w:rPr>
                <w:rFonts w:ascii="Times New Roman" w:eastAsia="Calibri" w:hAnsi="Times New Roman" w:cs="Times New Roman"/>
                <w:sz w:val="20"/>
                <w:szCs w:val="20"/>
                <w:lang w:eastAsia="hu-HU"/>
              </w:rPr>
              <w:pict>
                <v:rect id="_x0000_i1034"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TE: Ismeri az IFRS 8 előírásait.</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Times New Roman" w:hAnsi="Times New Roman" w:cs="Times New Roman"/>
                <w:color w:val="000000"/>
                <w:sz w:val="20"/>
                <w:szCs w:val="20"/>
              </w:rPr>
              <w:t xml:space="preserve">IAS 33 Egy részvényre jutó eredmény (EPS)  </w:t>
            </w:r>
            <w:r w:rsidR="00780616">
              <w:rPr>
                <w:rFonts w:ascii="Times New Roman" w:eastAsia="Calibri" w:hAnsi="Times New Roman" w:cs="Times New Roman"/>
                <w:sz w:val="20"/>
                <w:szCs w:val="20"/>
                <w:lang w:eastAsia="hu-HU"/>
              </w:rPr>
              <w:pict>
                <v:rect id="_x0000_i1035" style="width:0;height:1.5pt" o:hralign="center" o:hrstd="t" o:hr="t" fillcolor="#a0a0a0" stroked="f"/>
              </w:pict>
            </w:r>
          </w:p>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Calibri" w:hAnsi="Times New Roman" w:cs="Times New Roman"/>
                <w:sz w:val="20"/>
                <w:szCs w:val="20"/>
                <w:lang w:eastAsia="hu-HU"/>
              </w:rPr>
              <w:t>TE: Ismeri az IAS 33 előírásait.</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IFRS szerinti egyedi beszámolók áttekintése I.</w:t>
            </w:r>
          </w:p>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________________________________________</w:t>
            </w:r>
          </w:p>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 xml:space="preserve">TE: Ismeri az IFRS szerinti egyedi beszámolók felépítését, megjelenítésbeli sajátosságait. </w:t>
            </w:r>
          </w:p>
        </w:tc>
      </w:tr>
      <w:tr w:rsidR="00D35406" w:rsidRPr="00D35406" w:rsidTr="00D35406">
        <w:tc>
          <w:tcPr>
            <w:tcW w:w="1529" w:type="dxa"/>
            <w:shd w:val="clear" w:color="auto" w:fill="auto"/>
          </w:tcPr>
          <w:p w:rsidR="00D35406" w:rsidRPr="00D35406" w:rsidRDefault="00D35406" w:rsidP="00D35406">
            <w:pPr>
              <w:numPr>
                <w:ilvl w:val="0"/>
                <w:numId w:val="13"/>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 xml:space="preserve"> IFRS szerinti egyedi beszámolók áttekintése II.</w:t>
            </w:r>
          </w:p>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________________________________________</w:t>
            </w:r>
          </w:p>
          <w:p w:rsidR="00D35406" w:rsidRPr="00D35406" w:rsidRDefault="00D35406" w:rsidP="00D35406">
            <w:pPr>
              <w:spacing w:after="0" w:line="240" w:lineRule="auto"/>
              <w:rPr>
                <w:rFonts w:ascii="Times New Roman" w:eastAsia="Times New Roman" w:hAnsi="Times New Roman" w:cs="Times New Roman"/>
                <w:color w:val="000000"/>
                <w:sz w:val="20"/>
                <w:szCs w:val="20"/>
              </w:rPr>
            </w:pPr>
            <w:r w:rsidRPr="00D35406">
              <w:rPr>
                <w:rFonts w:ascii="Times New Roman" w:eastAsia="Times New Roman" w:hAnsi="Times New Roman" w:cs="Times New Roman"/>
                <w:color w:val="000000"/>
                <w:sz w:val="20"/>
                <w:szCs w:val="20"/>
              </w:rPr>
              <w:t>TE: Ismeri az IFRS szerinti egyedi beszámolók felépítését, megjelenítésbeli sajátosságait.</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2A6B68" w:rsidRDefault="00D35406" w:rsidP="00D35406">
            <w:pPr>
              <w:spacing w:after="0" w:line="240" w:lineRule="auto"/>
              <w:jc w:val="center"/>
              <w:rPr>
                <w:rFonts w:ascii="Times New Roman" w:eastAsia="Arial Unicode MS" w:hAnsi="Times New Roman" w:cs="Times New Roman"/>
                <w:sz w:val="20"/>
                <w:szCs w:val="16"/>
                <w:lang w:eastAsia="hu-HU"/>
              </w:rPr>
            </w:pPr>
            <w:r w:rsidRPr="002A6B68">
              <w:rPr>
                <w:rFonts w:ascii="Times New Roman" w:eastAsia="Arial Unicode MS" w:hAnsi="Times New Roman" w:cs="Times New Roman"/>
                <w:sz w:val="20"/>
                <w:szCs w:val="16"/>
                <w:lang w:eastAsia="hu-HU"/>
              </w:rPr>
              <w:t>Haladó olvasmányok a világgazdaság témakörében I.</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Calibri" w:hAnsi="Times New Roman" w:cs="Times New Roman"/>
                <w:b/>
                <w:sz w:val="20"/>
                <w:szCs w:val="20"/>
                <w:lang w:eastAsia="hu-HU"/>
              </w:rPr>
              <w:t>GT_MNGN012-17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Advanced Readings in</w:t>
            </w:r>
            <w:r w:rsidRPr="00D35406">
              <w:rPr>
                <w:rFonts w:ascii="Times New Roman" w:eastAsia="Calibri" w:hAnsi="Times New Roman" w:cs="Times New Roman"/>
                <w:b/>
                <w:sz w:val="20"/>
                <w:szCs w:val="20"/>
                <w:lang w:eastAsia="hu-HU"/>
              </w:rPr>
              <w:br/>
              <w:t>World Economy I.</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 GTK Gazdasági Szaknyelvi Kommunikációs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B2 szintű nyelvtudás</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angol</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Troy Wiwczaroski</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A kurzus célja,</w:t>
            </w:r>
          </w:p>
          <w:p w:rsidR="00D35406" w:rsidRPr="00D35406" w:rsidRDefault="00D35406" w:rsidP="002A6B6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hogy a hallgatóknak lehetőséget nyújtson arra, hogy angol nyelvtudásukat szakszövegek feldolgozása során bővítsék, új ismeretek szerezzenek szakszövegek feldolgozása alkalmával. Az olvasáskészség fejlesztése mellett kiemelkedő hangsúlyt kap a beszédkészség javítása is. Mind formális, mind pedig informális szituatív helyzetekben lehetőség nyílik a gyakorlásra. A diákoknak önállóan kell feldolgozniuk a Világbank évenként megjelenő kiadványának, a </w:t>
            </w:r>
            <w:r w:rsidRPr="00D35406">
              <w:rPr>
                <w:rFonts w:ascii="Times New Roman" w:eastAsia="Calibri" w:hAnsi="Times New Roman" w:cs="Times New Roman"/>
                <w:i/>
                <w:sz w:val="20"/>
                <w:szCs w:val="20"/>
                <w:lang w:eastAsia="hu-HU"/>
              </w:rPr>
              <w:t>World Development Reportnak</w:t>
            </w:r>
            <w:r w:rsidRPr="00D35406">
              <w:rPr>
                <w:rFonts w:ascii="Times New Roman" w:eastAsia="Calibri" w:hAnsi="Times New Roman" w:cs="Times New Roman"/>
                <w:sz w:val="20"/>
                <w:szCs w:val="20"/>
                <w:lang w:eastAsia="hu-HU"/>
              </w:rPr>
              <w:t xml:space="preserve"> egy fejezetét, majd egy tizenöt perces prezentációban előadni azt.</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ismeri a meghatározó gazdasági tényeket, a gazdálkodó szervezetek struktúráját, működését; a hazai, illet-ve nemzeti határokon túlnyúló kapcsolatrendszerét, a társadalmi-gazdasági összefüggéseket, nemzeti és nemzet-közi szinteken. Ismeri az európai integrációs folyamatot és az Európai Uniónak a tevékenységéhez kapcsolódó szakpo-litikáit. A köznyelv magas szintű ismerete mellett birtokában van a gazdasági szaknyelvnek, kifejezési és fogalmazási sajátosságainak angol nyelven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képes nemzetközi, multikulturális környezetben is hatékony munkavégzésre, szakmailag megalapozott vélemény megfogalmazására, döntések előkészítésére és meghozatalára. Idegen nyelven képes elemzés és a gyakorlati problémamegoldás során következtetéseket megfogalmazni, javaslatokat tenni és döntéseket hozni. Hazai és nemzetközi projektekben, csoportos feladatmegoldásokban vesz részt, vezetőként a tevékenységet idegen nyelven is tudja tervezni, irányítani, szervezni, koordinálni és értékelni.</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hallgatóra jellemző a tudás megújításának képessége, a nyitott gondolkodásmód, a tolerancia és az együttműködési készség. Elkötelezett az általános társadalmi értékek mellett, szociálisan érzékeny mind hazai, mind nemzetközi viszony-latban. Kulturált, etikus és tárgyilagos értelmiségi hozzáállás jellemzi a személyekhez, illetve a társadalmi problémákhoz való viszonyulása során, figyel a szélesebb körű társadalmi, ágazati, regionális, nemzeti és európai értékekre (ide értve a társadalmi, szociális és ökológiai, fenntarthatósági szempontokat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2A6B68" w:rsidRDefault="00D35406" w:rsidP="002A6B6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kezdeményező a problémák megoldásában, stratégiák kialakításában, csoportok és hallgatótársak együttműködésében; bekapcsolódik projektekbe, és a cél elérése érdekében autonóm módon, a csoport többi tagjával együttműködve mozgósítja elméleti és gyakorlati tudását, képességeit.</w:t>
            </w: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kurzus célja kettős; egyrészt nemzetközi gazdasági dokumentumok intenzív olvasása és feldolgozása, másrészt a hallgatók előadói készségének fejlesztése. A kurzus tananyaga a Világbank évente megjelentetett kiadványa, a </w:t>
            </w:r>
            <w:r w:rsidRPr="00D35406">
              <w:rPr>
                <w:rFonts w:ascii="Times New Roman" w:eastAsia="Calibri" w:hAnsi="Times New Roman" w:cs="Times New Roman"/>
                <w:i/>
                <w:sz w:val="20"/>
                <w:szCs w:val="20"/>
                <w:lang w:eastAsia="hu-HU"/>
              </w:rPr>
              <w:t>World Development Report</w:t>
            </w:r>
            <w:r w:rsidRPr="00D35406">
              <w:rPr>
                <w:rFonts w:ascii="Times New Roman" w:eastAsia="Calibri" w:hAnsi="Times New Roman" w:cs="Times New Roman"/>
                <w:sz w:val="20"/>
                <w:szCs w:val="20"/>
                <w:lang w:eastAsia="hu-HU"/>
              </w:rPr>
              <w:t>, amelyet fejezetekre bontva dolgozunk fel. Az idei (2019) Jelentés a munkakörök jelentős változása köré épül, azok jellegét, a változások okait, természetét és az új típusú foglalkozásokhoz szükséges kompetenciákat mutatja be.</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idei témakörök a következők lesznek:</w:t>
            </w:r>
          </w:p>
          <w:p w:rsidR="00D35406" w:rsidRPr="00D35406" w:rsidRDefault="00D35406" w:rsidP="002A6B6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munkakörök változó jellege, a humán tőke fejlődése, élethosszig tartó tanulás, munkaerő-piaci megtérülés, a szociális támogatások megerősödése, társadalmi inklúzió</w:t>
            </w:r>
          </w:p>
        </w:tc>
      </w:tr>
      <w:tr w:rsidR="00D35406" w:rsidRPr="00D35406" w:rsidTr="002A6B68">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2A6B6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Intenzív olvasási feladatok, reflektálás az olvasottakra, órai pármunka és csoportmunka, önálló prezentációk készítése és előadása.</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Értékelés</w:t>
            </w:r>
          </w:p>
          <w:p w:rsidR="00D35406" w:rsidRPr="00D35406" w:rsidRDefault="00D35406" w:rsidP="002A6B68">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szemináriumi jeggyel zárul. A félévi teljesítmény több komponensből tevődik össze; a szemináriumokon való aktív részvétel, valamint egy prezentáció készítése. Elégséges (2) osztályzathoz 60%-os összteljesítmény szükséges.</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World Development Report 2019, published by the World Bank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oktató által kiadott szakcikkek.</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The Guardian</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The Financial Times</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i/>
                <w:sz w:val="20"/>
                <w:szCs w:val="20"/>
                <w:lang w:eastAsia="hu-HU"/>
              </w:rPr>
            </w:pPr>
            <w:r w:rsidRPr="00D35406">
              <w:rPr>
                <w:rFonts w:ascii="Times New Roman" w:eastAsia="Calibri" w:hAnsi="Times New Roman" w:cs="Times New Roman"/>
                <w:sz w:val="20"/>
                <w:szCs w:val="20"/>
                <w:lang w:eastAsia="hu-HU"/>
              </w:rPr>
              <w:t>World Development Report eddig megjelent kötetei</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Bevezetés, a kurzus szervezése.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prezentáció műfaji követelményeinek áttekintése.</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önálló prezentációk kijelölése, ütemezése.</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 megismeri a kurzus elvárásait, valamint a prezentációkkal szemben támasztott szakmai és előadói stílussal kapcsolatos követelményeket. Saját tevékenységeit átgondolva felelősen kiválasztja prezentációja időpontját.</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Tartalmi áttekintés</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betekintést nyernek a félév anyagába, ismerkednek a szakszókinccsel.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munkakörök átalakulása, a technika és a technológiai fejlődés okozta változások a munkaerőpiacon</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összefüggéseket figyelnek meg a 21. század technológiai fejlődése és a munkaerőpiaci igények között.</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vállalkozások változó jellege I. Globális szereplők.</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megfigyelik a vállalkozások méretének változását a 21. században, reflektálnak rá, valamint példákat említeni a saját környezetükre vonatkozóan.</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vállalkozások változó jellege II. Versenyzői piacok. Adóelkerülés. </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megismerkednek a modern versenyzői piaccal, annak jellemzőivel, valamint az adóelkerüléssel kapcsolatos lehetőségekkel.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emberi tőke fogalma, jelentősége; kormányzati szintű beavatkozás</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megismerkednek az emberi tőke 21. századi fontosságával.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emberi tőke és a mérés-értékelés szerepe, az emberi tőke projekt</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meglátják a rendszeres mérés-értékelés és az eredmények közötti pozitív összefüggést, majd ezek gazdasági hsznát.</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Élethosszig tartó tanulás; a gyermekkor jelentősége a tanulás szempontjából, a felsőoktatás, valamint a felnőttoktatás megváltozott jelentősége</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gazdasági szempontból tudnak az oktatás különböző szintjeiről nyilatkozni.</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munkaerőpiaci megtérülés I.</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megismerkednek a munkaerőpiac formális és informális csatornáival, azok jellemzőivel.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munkaerőpiaci megtérülés II.</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megismerkednek a nők és a mezőgazdaságban dolgozók piaci helyzetével.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társadalmi védőháló I.</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betekintenek a társadalmi segítségnyújtás fontosságába, a hátrányos csoportok munkaerőpiaci helyzetébe.</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társadalmi védőháló II.</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megismerkednek a társadalombiztosítás fogalmával, a munkaerőpiac szabályozásának módjaival.</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társadalmi inklúzió fogalma, hatása a munkaerőpiacra.</w:t>
            </w:r>
          </w:p>
        </w:tc>
      </w:tr>
      <w:tr w:rsidR="00D35406" w:rsidRPr="00D35406" w:rsidTr="00D35406">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tanulók elsajátítják az inklúzió fogalmát, és saját példákat hoznak a jelenségre.</w:t>
            </w:r>
          </w:p>
        </w:tc>
      </w:tr>
      <w:tr w:rsidR="00D35406" w:rsidRPr="00D35406" w:rsidTr="00D35406">
        <w:tc>
          <w:tcPr>
            <w:tcW w:w="1529" w:type="dxa"/>
            <w:vMerge w:val="restart"/>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értékelése, lezárása.</w:t>
            </w:r>
          </w:p>
        </w:tc>
      </w:tr>
      <w:tr w:rsidR="00D35406" w:rsidRPr="00D35406" w:rsidTr="00D35406">
        <w:trPr>
          <w:trHeight w:val="70"/>
        </w:trPr>
        <w:tc>
          <w:tcPr>
            <w:tcW w:w="1529" w:type="dxa"/>
            <w:vMerge/>
            <w:shd w:val="clear" w:color="auto" w:fill="auto"/>
          </w:tcPr>
          <w:p w:rsidR="00D35406" w:rsidRPr="00D35406" w:rsidRDefault="00D35406" w:rsidP="00D35406">
            <w:pPr>
              <w:numPr>
                <w:ilvl w:val="0"/>
                <w:numId w:val="1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Tanulási eredmények: A hallgató meghallgatja oktatója véleményét a félévi munkájáról, amellyel kapcsolatban észrevételeket tehet. </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A57FE2" w:rsidRDefault="00D35406" w:rsidP="00D35406">
            <w:pPr>
              <w:spacing w:after="0" w:line="240" w:lineRule="auto"/>
              <w:jc w:val="center"/>
              <w:rPr>
                <w:rFonts w:ascii="Times New Roman" w:eastAsia="Arial Unicode MS" w:hAnsi="Times New Roman" w:cs="Times New Roman"/>
                <w:sz w:val="20"/>
                <w:szCs w:val="16"/>
                <w:lang w:eastAsia="hu-HU"/>
              </w:rPr>
            </w:pPr>
            <w:r w:rsidRPr="00A57FE2">
              <w:rPr>
                <w:rFonts w:ascii="Times New Roman" w:eastAsia="Arial Unicode MS" w:hAnsi="Times New Roman" w:cs="Times New Roman"/>
                <w:sz w:val="20"/>
                <w:szCs w:val="16"/>
                <w:lang w:eastAsia="hu-HU"/>
              </w:rPr>
              <w:t>Haladó olvasmányok a világgazdaság témakörében II.</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Calibri" w:hAnsi="Times New Roman" w:cs="Times New Roman"/>
                <w:b/>
                <w:sz w:val="20"/>
                <w:szCs w:val="20"/>
                <w:lang w:eastAsia="hu-HU"/>
              </w:rPr>
              <w:t>GT_MNGN014-17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Advanced Readings in</w:t>
            </w:r>
            <w:r w:rsidRPr="00D35406">
              <w:rPr>
                <w:rFonts w:ascii="Times New Roman" w:eastAsia="Calibri" w:hAnsi="Times New Roman" w:cs="Times New Roman"/>
                <w:b/>
                <w:sz w:val="20"/>
                <w:szCs w:val="20"/>
                <w:lang w:eastAsia="hu-HU"/>
              </w:rPr>
              <w:br/>
              <w:t>World Economy II.</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 GTK Gazdasági Szaknyelvi Kommunikációs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B2 szintű nyelvtudás</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angol</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Troy Wiwczaroski</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A kurzus célja,</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hogy a hallgatóknak lehetőséget nyújtson arra, hogy angol nyelvtudásukat szakszövegek feldolgozása során bővítsék, új ismeretek szerezzenek felsőfokú, autentikus szakszövegek olvasása és megvitatása során. Az olvasáskészség fejlesztése mellett kiemelkedő hangsúlyt kap a beszédkészség javítása is. Mind formális, mind pedig informális szituatív helyzetekben lehetőség nyílik a gyakorlásra. A hallgatóknak rendszeresen reflektálniuk kell az olvasmányokra, valamint önállóan kell feldolgozniuk és prezentálniuk az Európai Bizottság gazdasági-pénzü</w:t>
            </w:r>
            <w:r w:rsidRPr="00D35406">
              <w:rPr>
                <w:rFonts w:ascii="Times New Roman" w:eastAsia="Calibri" w:hAnsi="Times New Roman" w:cs="Times New Roman"/>
                <w:sz w:val="20"/>
                <w:szCs w:val="20"/>
                <w:lang w:val="en-US" w:eastAsia="hu-HU"/>
              </w:rPr>
              <w:t>gyi</w:t>
            </w:r>
            <w:r w:rsidRPr="00D35406">
              <w:rPr>
                <w:rFonts w:ascii="Times New Roman" w:eastAsia="Calibri" w:hAnsi="Times New Roman" w:cs="Times New Roman"/>
                <w:sz w:val="20"/>
                <w:szCs w:val="20"/>
                <w:lang w:eastAsia="hu-HU"/>
              </w:rPr>
              <w:t xml:space="preserve"> jelentéséi közül egyet-egyet. </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ismeri a meghatározó gazdasági tényeket, a gazdálkodó szervezetek struktúráját, működését; a hazai, illetve nemzeti határokon túlnyúló kapcsolatrendszerét, a társadalmi-gazdasági összefüggéseket, nemzeti és nemzetközi szinteken. Ismeri az európai integrációs folyamatot és az Európai Uniónak a tevékenységéhez kapcsolódó szakpolitikáit. A köznyelv magas szintű ismerete mellett birtokában van a gazdasági szaknyelvvel, kifejezési és fogalmazási sajátosságaival angol nyelven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képes nemzetközi, multikulturális környezetben is hatékony munkavégzésre, szakmailag megalapozott vélemény megfogalmazására, döntések előkészítésére és meghozatalára. Idegen nyelven képes elemzésre, és a gyakorlati problémamegoldás során következtetéseket tud megfogalmazni, javaslatokat tenni és döntéseket hozni. Hazai és nemzetközi projektekben, csoportos feladatmegoldásokban vesz részt, vezetőként a tevékenységet idegen nyelven is tudja tervezni, irányítani, szervezni, koordinálni és értékelni.</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hallgatóra jellemző a tudás megújításának képessége, a nyitott gondolkodásmód, a tolerancia és az együttműködési készség. Elkötelezett az általános társadalmi értékek mellett, szociálisan érzékeny mind hazai, mind nemzetközi viszonylatban. Kulturált, etikus és tárgyilagos értelmiségi hozzáállás jellemzi a személyekhez, illetve a társadalmi problémákhoz való viszonyulása során, figyel a szélesebb körű társadalmi, ágazati, regionális, nemzeti és európai értékekre (ide értve a társadalmi, szociális és ökológiai, fenntarthatósági szempontokat is).</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kezdeményező a problémák megoldásában, stratégiák kialakításában, csoportok és hallgatótársak együttműködésében; bekapcsolódik projektekbe, és a cél elérése érdekében autonóm módon, a csoport többi tagjával együttműködve mozgósítja elméleti és gyakorlati tudását, képességeit.</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kurzus célja kettős; egyrészt nemzetközi gazdasági dokumentumok intenzív olvasása és feldolgozása, másrészt a hallgatók előadói készségének fejlesztése. A kurzus tananyagát az Európai Bizottság gazdasági-, pénzügyi-, valamint országjelentései adják, amelyek közül a legfrissebb (az adott tanévet megelőző két évnél nem régebbi) közleményeket választjuk.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idei témakörök a következők lesznek: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Európai gazdasági előrejelzések, gazdasági indikátorok, az európai bővítés, az európai munkaerőpiac, különböző országjelentések</w:t>
            </w:r>
          </w:p>
        </w:tc>
      </w:tr>
      <w:tr w:rsidR="00D35406" w:rsidRPr="00D35406" w:rsidTr="00A57FE2">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A57FE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Intenzív olvasási feladatok, reflektálás az olvasottakra, órai pármunka és csoportmunka, önálló prezentációk készítése és előadása.</w:t>
            </w:r>
          </w:p>
        </w:tc>
      </w:tr>
      <w:tr w:rsidR="00D35406" w:rsidRPr="00D35406" w:rsidTr="00A57FE2">
        <w:trPr>
          <w:trHeight w:val="1134"/>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Értékelés</w:t>
            </w:r>
          </w:p>
          <w:p w:rsidR="00D35406" w:rsidRPr="00D35406" w:rsidRDefault="00D35406" w:rsidP="00A57FE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szemináriumi jeggyel zárul. A félévi teljesítmény több komponensből tevődik össze; a szemináriumokon való aktív részvétel, valamint egy prezentáció készítése. Elégséges (2) osztályzathoz 60%-os összteljesítmény szükséges.</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78061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hyperlink r:id="rId34" w:history="1">
              <w:r w:rsidR="00D35406" w:rsidRPr="00D35406">
                <w:rPr>
                  <w:rFonts w:ascii="Times New Roman" w:eastAsia="Calibri" w:hAnsi="Times New Roman" w:cs="Times New Roman"/>
                  <w:color w:val="0000FF"/>
                  <w:sz w:val="20"/>
                  <w:szCs w:val="20"/>
                  <w:u w:val="single"/>
                  <w:lang w:eastAsia="hu-HU"/>
                </w:rPr>
                <w:t>https://ec.europa.eu/info/business-economy-euro/economy-finance-and-euro-publications_en</w:t>
              </w:r>
            </w:hyperlink>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oktató által kiadott szakcikkek.</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2015 előtti jelentések az alábbi weboldalról:</w:t>
            </w:r>
          </w:p>
          <w:p w:rsidR="00D35406" w:rsidRPr="00D35406" w:rsidRDefault="0078061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hyperlink r:id="rId35" w:history="1">
              <w:r w:rsidR="00D35406" w:rsidRPr="00D35406">
                <w:rPr>
                  <w:rFonts w:ascii="Times New Roman" w:eastAsia="Calibri" w:hAnsi="Times New Roman" w:cs="Times New Roman"/>
                  <w:color w:val="0000FF"/>
                  <w:sz w:val="20"/>
                  <w:szCs w:val="20"/>
                  <w:u w:val="single"/>
                  <w:lang w:eastAsia="hu-HU"/>
                </w:rPr>
                <w:t>http://ec.europa.eu/economy_finance/publications/economic_paper/index_en.htm</w:t>
              </w:r>
            </w:hyperlink>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The Guardian</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i/>
                <w:sz w:val="20"/>
                <w:szCs w:val="20"/>
                <w:lang w:eastAsia="hu-HU"/>
              </w:rPr>
            </w:pPr>
            <w:r w:rsidRPr="00D35406">
              <w:rPr>
                <w:rFonts w:ascii="Times New Roman" w:eastAsia="Calibri" w:hAnsi="Times New Roman" w:cs="Times New Roman"/>
                <w:sz w:val="20"/>
                <w:szCs w:val="20"/>
                <w:lang w:eastAsia="hu-HU"/>
              </w:rPr>
              <w:t>The Financial Times</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D35406" w:rsidRPr="00D35406" w:rsidTr="00D35406">
        <w:tc>
          <w:tcPr>
            <w:tcW w:w="9024"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Bevezetés, a kurzus szervezése. </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prezentáció műfaji követelményeinek áttekintése.</w: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önálló prezentációk kijelölése, ütemezése.</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 megismeri a kurzus elvárásait, valamint a prezentációkkal szemben támasztott szakmai és előadói stílussal kapcsolatos követelményeket. Saját tevékenységeit átgondolva felelősen kiválasztja prezentációja időpontját.</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Country Report Hungary, 2018 (1): Executive summary, Economic situation and outlook</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betekintést nyernek a félév anyagába, ismerkednek a szakszókinccsel.</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Country Report Hungary, 2018 (2): Progress with country-specific recommendations, Reform priorities</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megismerkednek a Bizottsági jelentés műfaji sajátosságaival, a szakszókinccsel, valamint a táblázatok, grafikonok értelmezésével.</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European Economic Forecast. Autumn 2018 (1)</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megfigyelik a gazdasági indikátorok használatát szakszövegben, és gyakorolják azokat.</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European Economic Forecast. Autumn 2018 (2)</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megfigyelik a gazdasági indikátorok használatát szakszövegben, és gyakorolják azokat, majd saját elemzést készítenek.</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Tackling Denmark’s Post-Crisis Labour Market Challenges (1)</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megismerkednek a munkaerőpiac válság utáni kezelésének egy módjával, a szöveghez kapcsolódó szakszókinccsel.</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Tackling Denmark’s Post-Crisis Labour Market Challenges (2)</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hallgaók megismerkednek a munkaerőpiac válság utáni kezelésének egy módjával, a szöveghez kapcsolódó szakszókinccsel.</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Inflation Expections, Consumption and the Lower Bound (1)</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Tanulási eredmények: A hallgatók megismerkednek egy nagymintás, számos országot felölelő kutatás eredményeivel. Ezen túlmenően, szaknyelvi, stilisztikai ismeretekkel is gazdagodnak. </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Inflation Expections, Consumption and the Lower Bound (2)</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megismerkednek egy nagymintás, számos országot felölelő kutatás eredményeivel. Ezen túlmenően, szaknyelvi, stilisztikai ismeretekkel is gazdagodnak.</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EU Candidate countries’ and Potential Candidates’ Economic Quarterly, 4th quarter, 2017 (1)</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betekintést nyernek a tagjelölt országok, valamint a lehetséges tagjelölt országok gazdasági helyzetébe, valamint azokba a folyamatokba, amelyek a csatlakozáshoz vezethetnek.</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EU Candidate countries’ and Potential Candidates’ Economic Quarterly, 4th quarter, 2017 (2)</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betekintést nyernek a tagjelölt országok, valamint a lehetséges tagjelölt országok gazdasági helyzetébe, valamint azokba a folyamatokba, amelyek a csatlakozáshoz vezethetnek.</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Globalisation and Income Inequality Revisited (1)</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Tanulási eredmények: A hallgatók megismerkednek olyan kiadvánnyal is, amelyik az Európai Bizottság által készült és a világgazdaság kérdéseivel foglalkozik. </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Globalisation and Income Inequality Revisited (2)</w:t>
            </w:r>
          </w:p>
        </w:tc>
      </w:tr>
      <w:tr w:rsidR="00D35406" w:rsidRPr="00D35406" w:rsidTr="00A57FE2">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Tanulási eredmények: A hallgatók megismerkednek olyan kiadvánnyal is, amelyik az Európai Bizottság által készült és a világgazdaság kérdéseivel foglalkozik.</w:t>
            </w:r>
          </w:p>
        </w:tc>
      </w:tr>
      <w:tr w:rsidR="00D35406" w:rsidRPr="00D35406" w:rsidTr="00A57FE2">
        <w:tc>
          <w:tcPr>
            <w:tcW w:w="950" w:type="dxa"/>
            <w:vMerge w:val="restart"/>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értékelése, lezárása.</w:t>
            </w:r>
          </w:p>
        </w:tc>
      </w:tr>
      <w:tr w:rsidR="00D35406" w:rsidRPr="00D35406" w:rsidTr="00A57FE2">
        <w:trPr>
          <w:trHeight w:val="70"/>
        </w:trPr>
        <w:tc>
          <w:tcPr>
            <w:tcW w:w="950" w:type="dxa"/>
            <w:vMerge/>
            <w:shd w:val="clear" w:color="auto" w:fill="auto"/>
          </w:tcPr>
          <w:p w:rsidR="00D35406" w:rsidRPr="00D35406" w:rsidRDefault="00D35406" w:rsidP="00D35406">
            <w:pPr>
              <w:numPr>
                <w:ilvl w:val="0"/>
                <w:numId w:val="1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Tanulási eredmények: A hallgatók meghallgatják oktatójuk véleményét a félévi munkájukról, amellyel kapcsolatban észrevételeket tehet. </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Arial Unicode MS" w:hAnsi="Times New Roman" w:cs="Times New Roman"/>
                <w:b/>
                <w:sz w:val="20"/>
                <w:szCs w:val="16"/>
                <w:lang w:eastAsia="hu-HU"/>
              </w:rPr>
              <w:t>Haladó fejlődésgazdaságtan II.</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Calibri" w:hAnsi="Times New Roman" w:cs="Times New Roman"/>
                <w:sz w:val="20"/>
                <w:szCs w:val="20"/>
                <w:lang w:eastAsia="hu-HU"/>
              </w:rPr>
              <w:t>GT_MNGN509-17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Advanced Development Economics I.</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Világgazdasági és Nemzetközi Kapcsolatok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specializációválasztás</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1</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egyetemi 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 a hallgatók</w:t>
            </w:r>
          </w:p>
          <w:p w:rsidR="00D35406" w:rsidRPr="00D35406" w:rsidRDefault="00D35406"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első kurzus során elsajátított témákon túl is elmélyüljenek a legfontosabb fejlesztéspolitikai kérdésekben. Továbbra is tanulmányozzuk a gazdasági növekedés és fejlődés legfontosabb meghatározóit, illetve azok hiányát a szegény országokban. Megvizsgáljuk a nemzetközi kereskedelem és a fejlődés kapcsolatát, a külső egyensúlyhiány, a krízisek és a stabilizációs politikák ezen országcsoportra gyakorolt hatását. Foglalkozunk a külföldi finanszírozás kérdéskörével: a hitelfevétellel, az eladósodással, a beruházásokkal és a segélyekkel, a fejlődő országok monetáris és fiskális politikájával, illetve a nemzetközi szervezetek felzárkóztató szerepével. A hallgatók egyéni és csoportos projektmunkája segíti</w:t>
            </w:r>
            <w:r w:rsidR="006D78F8">
              <w:rPr>
                <w:rFonts w:ascii="Times New Roman" w:eastAsia="Calibri" w:hAnsi="Times New Roman" w:cs="Times New Roman"/>
                <w:sz w:val="20"/>
                <w:szCs w:val="20"/>
                <w:lang w:eastAsia="hu-HU"/>
              </w:rPr>
              <w:t xml:space="preserve"> a témában történő elmélyülést.</w:t>
            </w:r>
          </w:p>
        </w:tc>
      </w:tr>
      <w:tr w:rsidR="006D78F8"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D78F8" w:rsidRPr="00D35406" w:rsidRDefault="006D78F8" w:rsidP="006D78F8">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D78F8" w:rsidRPr="00D35406" w:rsidRDefault="006D78F8" w:rsidP="006D78F8">
            <w:pPr>
              <w:spacing w:after="0" w:line="240" w:lineRule="auto"/>
              <w:jc w:val="both"/>
              <w:rPr>
                <w:rFonts w:ascii="Times New Roman" w:eastAsia="Calibri" w:hAnsi="Times New Roman" w:cs="Times New Roman"/>
                <w:b/>
                <w:bCs/>
                <w:sz w:val="20"/>
                <w:szCs w:val="20"/>
                <w:lang w:eastAsia="hu-HU"/>
              </w:rPr>
            </w:pPr>
          </w:p>
          <w:p w:rsidR="006D78F8" w:rsidRPr="00D35406" w:rsidRDefault="006D78F8" w:rsidP="006D78F8">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elemzési és problémamegoldási módszereket, ezek alkalmazási feltételeit és korlátait.</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6D78F8" w:rsidRPr="00D35406" w:rsidRDefault="006D78F8" w:rsidP="006D78F8">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Nemzetközi, multikulturális környezetben is képes hatékony munkavégzésre.</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6D78F8" w:rsidRPr="00D35406" w:rsidRDefault="006D78F8"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6D78F8" w:rsidRPr="00D35406" w:rsidRDefault="006D78F8" w:rsidP="006D78F8">
            <w:pPr>
              <w:spacing w:after="0" w:line="240" w:lineRule="auto"/>
              <w:ind w:left="416"/>
              <w:rPr>
                <w:rFonts w:ascii="Times New Roman" w:eastAsia="Calibri" w:hAnsi="Times New Roman" w:cs="Times New Roman"/>
                <w:b/>
                <w:bCs/>
                <w:sz w:val="20"/>
                <w:szCs w:val="20"/>
                <w:lang w:eastAsia="hu-HU"/>
              </w:rPr>
            </w:pPr>
            <w:r w:rsidRPr="00D35406">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lastRenderedPageBreak/>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Nyitott és befogadó a gazdaságtudomány és gyakorlat új eredményei iránt.</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Vállalja és hitelesen képviseli szakmája társadalmi szerepét, alapvető viszonyát a világhoz.</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Elkötelezett az általános társadalmi értékek mellett, szociálisan érzékeny mind hazai, mind nemzetközi viszonylatban.</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Komparatív gazdasági fejlődés. A gazdasági növekedés és fejlődés klasszikus elméletei. A fejlettség és alulfejlettség legújabb modelljei. Szegénység, egyenlőtlenség és fejlődés. Népességnövekedés és gazdasági fejlődés. Városiasodás és vidékről városba költözés: elmélet és politika. Humántőke: az oktatás és az egészség szerepe a gazdaságfejlődésben. Agrártranszformáció és vidékfejlődés. A környezet és a fejlődés</w:t>
            </w:r>
          </w:p>
          <w:p w:rsidR="00D35406" w:rsidRPr="00D35406" w:rsidRDefault="00D35406" w:rsidP="00D35406">
            <w:pPr>
              <w:spacing w:after="0" w:line="240" w:lineRule="auto"/>
              <w:ind w:right="138"/>
              <w:jc w:val="both"/>
              <w:rPr>
                <w:rFonts w:ascii="Times New Roman" w:eastAsia="Calibri" w:hAnsi="Times New Roman" w:cs="Times New Roman"/>
                <w:sz w:val="20"/>
                <w:szCs w:val="20"/>
                <w:lang w:eastAsia="hu-HU"/>
              </w:rPr>
            </w:pPr>
          </w:p>
        </w:tc>
      </w:tr>
      <w:tr w:rsidR="00D35406" w:rsidRPr="00D35406" w:rsidTr="006D78F8">
        <w:trPr>
          <w:trHeight w:val="833"/>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Interaktív elméleti előadások. A gyakorlatokon esettanulmányok, önálló adatelemzés, ország- és régiótanulmányok készítése, prezentáció.</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Csoportos projekt, cikkfeldolgozás, házi feladatok</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40%</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Zárthelyi dolgozat</w:t>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r>
            <w:r w:rsidRPr="00D35406">
              <w:rPr>
                <w:rFonts w:ascii="Times New Roman" w:eastAsia="Calibri" w:hAnsi="Times New Roman" w:cs="Times New Roman"/>
                <w:sz w:val="20"/>
                <w:szCs w:val="20"/>
                <w:lang w:eastAsia="hu-HU"/>
              </w:rPr>
              <w:tab/>
              <w:t>60%</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0-60% elégtelen, 61-70% elégséges, 71-80% közepes, 81-90% jó, 91-110% jeles</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Michael P. Todaro—Stephen C. Smith (2020): Economic Development, 13th Edition, Pearson, selected chapters (ISBN 9781292291154), kijelölt részek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b/>
                <w:sz w:val="20"/>
                <w:szCs w:val="20"/>
                <w:lang w:eastAsia="hu-HU"/>
              </w:rPr>
            </w:pPr>
            <w:r w:rsidRPr="00D35406">
              <w:rPr>
                <w:rFonts w:ascii="Times New Roman" w:eastAsia="Calibri" w:hAnsi="Times New Roman" w:cs="Times New Roman"/>
                <w:sz w:val="20"/>
                <w:szCs w:val="20"/>
                <w:lang w:eastAsia="hu-HU"/>
              </w:rPr>
              <w:t>Hans Rosling, Anna Rosling Rönnlund, Ola Rosling (2018): Tények, Libri Könyvkiadó, ISBN: 9789633109588</w:t>
            </w:r>
          </w:p>
          <w:p w:rsidR="00D35406" w:rsidRPr="00D35406" w:rsidRDefault="00D35406" w:rsidP="006D78F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fél</w:t>
            </w:r>
            <w:r w:rsidR="006D78F8">
              <w:rPr>
                <w:rFonts w:ascii="Times New Roman" w:eastAsia="Calibri" w:hAnsi="Times New Roman" w:cs="Times New Roman"/>
                <w:sz w:val="20"/>
                <w:szCs w:val="20"/>
                <w:lang w:eastAsia="hu-HU"/>
              </w:rPr>
              <w:t>év során kiadott cikkgyűjtemény</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35406">
              <w:rPr>
                <w:rFonts w:ascii="Times New Roman" w:eastAsia="Calibri" w:hAnsi="Times New Roman" w:cs="Times New Roman"/>
                <w:sz w:val="20"/>
                <w:szCs w:val="20"/>
                <w:lang w:val="en-US" w:eastAsia="hu-HU"/>
              </w:rPr>
              <w:t>Abhijit V. Banerjee—Esther Duflo (2020): Good Economics for Hard Times: Better Answers to Our Biggest Problems, Penguin Books Ltd.</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Abhijit V. Banerjee—Esther Duflo (2011) : Poor Economics, </w:t>
            </w:r>
            <w:proofErr w:type="gramStart"/>
            <w:r w:rsidRPr="00D35406">
              <w:rPr>
                <w:rFonts w:ascii="Times New Roman" w:eastAsia="Calibri" w:hAnsi="Times New Roman" w:cs="Times New Roman"/>
                <w:sz w:val="20"/>
                <w:szCs w:val="20"/>
                <w:lang w:eastAsia="hu-HU"/>
              </w:rPr>
              <w:t>A</w:t>
            </w:r>
            <w:proofErr w:type="gramEnd"/>
            <w:r w:rsidRPr="00D35406">
              <w:rPr>
                <w:rFonts w:ascii="Times New Roman" w:eastAsia="Calibri" w:hAnsi="Times New Roman" w:cs="Times New Roman"/>
                <w:sz w:val="20"/>
                <w:szCs w:val="20"/>
                <w:lang w:eastAsia="hu-HU"/>
              </w:rPr>
              <w:t xml:space="preserve"> Radical Rethinking of the Way to Fight Global Poverty and the Ways to End It, Random House India</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David N. Weil (2013): Economic Growth, 3rd Edition, International Edition, Pearson</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James M. Cypher – James L. Dietz: The Process of Economic Development, Routledge</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 Wayne Nafziger: Economic Development, Cambridge University Press</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fejlődésgazdaságtanból eddig megismertek felelevenítése</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előző kurzus főbb pontjainak felidézése</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nemzetközi kereskedelem hatása a fejlődésre</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Nemzetközi kereskedelmi elméletek és predikcióik. A szabadkereskedelmi elméletek kritikája a fejlődő országok tapasztalatainak kontextusában. Tradicionális paradigmák: exportösztönzés vs. importhelyettesítés. Iparpolitika. Dél-Dél kereskedelem és regionális integráció. A fejlett országok kereskedelempolitikája: a reform szükségessége, ellenállás az új protekcionista hullámoknak.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Fizetési mérleg, adósság, pénzügyi válságok és stabilizációs politikák a fejlődő országok szemszögéből.</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külső egyensúlyhiány, eladósodás, az 1980-as adósságválság és a rá adott fejlesztéspolitikai reakciók, makroökonómiai instabilitás, klasszikus IMF stabilizációs politikák és kritikái. A globális pénzügyi válság és a fejlődő országok.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Külső finanszírozás: lehetőségek és konfliktusok</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külső finanszírozás formái. Az FDI és a multinacionális cégek a fejlődő országokban. A jövedelem-hazautalások szerepe és növekedése. Segélyek és a velük kapcsolatos vita. Konfliktusok és fejlődés.</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fejlődő országok fiskális és monetáris politikája</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pénzügyi rendszer szerepe a fejlődésben. A központi bankok és egyéb rendszerek szerepe. Informális és mikrofinanszírozás. A pénzügyi rendszer reformja. A fejlődő országok fiskális politikája. Az állami vállalatok és a privatizáció. A közszféra a fejlődő országokban.</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Gyakorlat</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témájához kapcsolódó feladatok, gazdaságpolitikai alkalmazások és aktualitások</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Átfogó esettanulmány és prezentáció I.</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önálló esetfeldolgozás és prezentáció</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Átfogó esettanulmány és prezentáció II.</w:t>
            </w:r>
          </w:p>
        </w:tc>
      </w:tr>
      <w:tr w:rsidR="00D35406" w:rsidRPr="00D35406" w:rsidTr="00D35406">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önálló esetfeldolgozás és prezentáció</w:t>
            </w:r>
          </w:p>
        </w:tc>
      </w:tr>
      <w:tr w:rsidR="00D35406" w:rsidRPr="00D35406" w:rsidTr="00D35406">
        <w:tc>
          <w:tcPr>
            <w:tcW w:w="1529" w:type="dxa"/>
            <w:vMerge w:val="restart"/>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Szintézis</w:t>
            </w:r>
          </w:p>
        </w:tc>
      </w:tr>
      <w:tr w:rsidR="00D35406" w:rsidRPr="00D35406" w:rsidTr="00D35406">
        <w:trPr>
          <w:trHeight w:val="70"/>
        </w:trPr>
        <w:tc>
          <w:tcPr>
            <w:tcW w:w="1529" w:type="dxa"/>
            <w:vMerge/>
            <w:shd w:val="clear" w:color="auto" w:fill="auto"/>
          </w:tcPr>
          <w:p w:rsidR="00D35406" w:rsidRPr="00D35406" w:rsidRDefault="00D35406" w:rsidP="00D35406">
            <w:pPr>
              <w:numPr>
                <w:ilvl w:val="0"/>
                <w:numId w:val="1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félév során tanultak összefoglalása</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D35406" w:rsidRDefault="00D35406">
      <w:pPr>
        <w:rPr>
          <w:rFonts w:ascii="Times New Roman" w:hAnsi="Times New Roman" w:cs="Times New Roman"/>
          <w:sz w:val="20"/>
          <w:szCs w:val="20"/>
        </w:rPr>
      </w:pPr>
      <w:r>
        <w:rPr>
          <w:rFonts w:ascii="Times New Roman" w:hAnsi="Times New Roman" w:cs="Times New Roman"/>
          <w:sz w:val="20"/>
          <w:szCs w:val="20"/>
        </w:rPr>
        <w:br w:type="page"/>
      </w:r>
    </w:p>
    <w:p w:rsidR="00D72AA4" w:rsidRPr="00D72AA4" w:rsidRDefault="00D72AA4" w:rsidP="00D72AA4">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72AA4" w:rsidRPr="00D72AA4" w:rsidTr="00A57FE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72AA4" w:rsidRPr="00D72AA4" w:rsidRDefault="00D72AA4" w:rsidP="00D72AA4">
            <w:pPr>
              <w:spacing w:after="0" w:line="240" w:lineRule="auto"/>
              <w:ind w:left="20"/>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Arial Unicode MS" w:hAnsi="Times New Roman" w:cs="Times New Roman"/>
                <w:b/>
                <w:sz w:val="20"/>
                <w:szCs w:val="20"/>
                <w:lang w:eastAsia="hu-HU"/>
              </w:rPr>
            </w:pPr>
            <w:r w:rsidRPr="00D72AA4">
              <w:rPr>
                <w:rFonts w:ascii="Times New Roman" w:eastAsia="Arial Unicode MS" w:hAnsi="Times New Roman" w:cs="Times New Roman"/>
                <w:b/>
                <w:sz w:val="20"/>
                <w:szCs w:val="20"/>
                <w:lang w:eastAsia="hu-HU"/>
              </w:rPr>
              <w:t>Kereskedelempolitika és nemzetközi tényezőáramlás</w:t>
            </w:r>
          </w:p>
        </w:tc>
        <w:tc>
          <w:tcPr>
            <w:tcW w:w="855" w:type="dxa"/>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Arial Unicode MS" w:hAnsi="Times New Roman" w:cs="Times New Roman"/>
                <w:b/>
                <w:sz w:val="20"/>
                <w:szCs w:val="20"/>
                <w:lang w:eastAsia="hu-HU"/>
              </w:rPr>
            </w:pPr>
            <w:r w:rsidRPr="00D72AA4">
              <w:rPr>
                <w:rFonts w:ascii="Times New Roman" w:eastAsia="Arial Unicode MS" w:hAnsi="Times New Roman" w:cs="Times New Roman"/>
                <w:b/>
                <w:sz w:val="20"/>
                <w:szCs w:val="20"/>
                <w:lang w:eastAsia="hu-HU"/>
              </w:rPr>
              <w:t>GT_MNGN502-17</w:t>
            </w:r>
          </w:p>
        </w:tc>
      </w:tr>
      <w:tr w:rsidR="00D72AA4" w:rsidRPr="00D72AA4" w:rsidTr="00A57FE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International Trade Policy and Factor Flows</w:t>
            </w:r>
          </w:p>
        </w:tc>
        <w:tc>
          <w:tcPr>
            <w:tcW w:w="855" w:type="dxa"/>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p>
        </w:tc>
      </w:tr>
      <w:tr w:rsidR="00D72AA4" w:rsidRPr="00D72AA4" w:rsidTr="00A57FE2">
        <w:trPr>
          <w:cantSplit/>
          <w:trHeight w:val="8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b/>
                <w:bCs/>
                <w:sz w:val="20"/>
                <w:szCs w:val="20"/>
                <w:lang w:eastAsia="hu-HU"/>
              </w:rPr>
            </w:pPr>
          </w:p>
        </w:tc>
      </w:tr>
      <w:tr w:rsidR="00D72AA4" w:rsidRPr="00D72AA4" w:rsidTr="00A57FE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ind w:left="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Világgazdasági és Nemzetközi Kapcsolatok Intézet</w:t>
            </w:r>
          </w:p>
        </w:tc>
      </w:tr>
      <w:tr w:rsidR="00D72AA4" w:rsidRPr="00D72AA4" w:rsidTr="00A57FE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ind w:left="20"/>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Arial Unicode MS" w:hAnsi="Times New Roman" w:cs="Times New Roman"/>
                <w:b/>
                <w:sz w:val="20"/>
                <w:szCs w:val="20"/>
                <w:lang w:eastAsia="hu-HU"/>
              </w:rPr>
            </w:pPr>
            <w:r w:rsidRPr="00D72AA4">
              <w:rPr>
                <w:rFonts w:ascii="Times New Roman" w:eastAsia="Arial Unicode MS" w:hAnsi="Times New Roman" w:cs="Times New Roman"/>
                <w:b/>
                <w:sz w:val="20"/>
                <w:szCs w:val="20"/>
                <w:lang w:eastAsia="hu-HU"/>
              </w:rPr>
              <w:t>nincs</w:t>
            </w:r>
          </w:p>
        </w:tc>
        <w:tc>
          <w:tcPr>
            <w:tcW w:w="855" w:type="dxa"/>
            <w:tcBorders>
              <w:top w:val="single" w:sz="4" w:space="0" w:color="auto"/>
              <w:left w:val="nil"/>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Arial Unicode MS" w:hAnsi="Times New Roman" w:cs="Times New Roman"/>
                <w:sz w:val="20"/>
                <w:szCs w:val="20"/>
                <w:lang w:eastAsia="hu-HU"/>
              </w:rPr>
            </w:pPr>
            <w:r w:rsidRPr="00D72AA4">
              <w:rPr>
                <w:rFonts w:ascii="Times New Roman" w:eastAsia="Arial Unicode MS" w:hAnsi="Times New Roman" w:cs="Times New Roman"/>
                <w:sz w:val="20"/>
                <w:szCs w:val="20"/>
                <w:lang w:eastAsia="hu-HU"/>
              </w:rPr>
              <w:t>-</w:t>
            </w:r>
          </w:p>
        </w:tc>
      </w:tr>
      <w:tr w:rsidR="00D72AA4" w:rsidRPr="00D72AA4" w:rsidTr="00A57FE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Oktatás nyelve</w:t>
            </w:r>
          </w:p>
        </w:tc>
      </w:tr>
      <w:tr w:rsidR="00D72AA4" w:rsidRPr="00D72AA4" w:rsidTr="00A57FE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p>
        </w:tc>
      </w:tr>
      <w:tr w:rsidR="00D72AA4" w:rsidRPr="00D72AA4" w:rsidTr="00A57FE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Magyar</w:t>
            </w:r>
          </w:p>
        </w:tc>
      </w:tr>
      <w:tr w:rsidR="00D72AA4" w:rsidRPr="00D72AA4" w:rsidTr="00A57FE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p>
        </w:tc>
      </w:tr>
      <w:tr w:rsidR="00D72AA4" w:rsidRPr="00D72AA4" w:rsidTr="00A57FE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72AA4" w:rsidRPr="00D72AA4" w:rsidRDefault="00D72AA4" w:rsidP="00D72AA4">
            <w:pPr>
              <w:spacing w:after="0" w:line="240" w:lineRule="auto"/>
              <w:ind w:left="20"/>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highlight w:val="yellow"/>
                <w:lang w:eastAsia="hu-HU"/>
              </w:rPr>
            </w:pPr>
            <w:r w:rsidRPr="00D72AA4">
              <w:rPr>
                <w:rFonts w:ascii="Times New Roman" w:eastAsia="Calibri" w:hAnsi="Times New Roman" w:cs="Times New Roman"/>
                <w:b/>
                <w:sz w:val="20"/>
                <w:szCs w:val="20"/>
                <w:lang w:eastAsia="hu-HU"/>
              </w:rPr>
              <w:t>Dr. Márkus Ádám</w:t>
            </w:r>
          </w:p>
        </w:tc>
        <w:tc>
          <w:tcPr>
            <w:tcW w:w="855" w:type="dxa"/>
            <w:tcBorders>
              <w:top w:val="single" w:sz="4" w:space="0" w:color="auto"/>
              <w:left w:val="nil"/>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Arial Unicode MS" w:hAnsi="Times New Roman" w:cs="Times New Roman"/>
                <w:sz w:val="20"/>
                <w:szCs w:val="20"/>
                <w:lang w:eastAsia="hu-HU"/>
              </w:rPr>
            </w:pPr>
            <w:r w:rsidRPr="00D72AA4">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72AA4" w:rsidRPr="00D72AA4" w:rsidRDefault="00D72AA4" w:rsidP="00D72AA4">
            <w:pPr>
              <w:spacing w:after="0" w:line="240" w:lineRule="auto"/>
              <w:jc w:val="center"/>
              <w:rPr>
                <w:rFonts w:ascii="Times New Roman" w:eastAsia="Calibri" w:hAnsi="Times New Roman" w:cs="Times New Roman"/>
                <w:b/>
                <w:sz w:val="20"/>
                <w:szCs w:val="20"/>
                <w:lang w:eastAsia="hu-HU"/>
              </w:rPr>
            </w:pPr>
            <w:r w:rsidRPr="00D72AA4">
              <w:rPr>
                <w:rFonts w:ascii="Times New Roman" w:eastAsia="Calibri" w:hAnsi="Times New Roman" w:cs="Times New Roman"/>
                <w:b/>
                <w:sz w:val="20"/>
                <w:szCs w:val="20"/>
                <w:lang w:eastAsia="hu-HU"/>
              </w:rPr>
              <w:t>adjunktus</w:t>
            </w:r>
          </w:p>
        </w:tc>
      </w:tr>
      <w:tr w:rsidR="00D72AA4" w:rsidRPr="00D72AA4" w:rsidTr="00A57FE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sz w:val="20"/>
                <w:szCs w:val="20"/>
                <w:lang w:eastAsia="hu-HU"/>
              </w:rPr>
            </w:pPr>
            <w:r w:rsidRPr="00D72AA4">
              <w:rPr>
                <w:rFonts w:ascii="Times New Roman" w:eastAsia="Calibri" w:hAnsi="Times New Roman" w:cs="Times New Roman"/>
                <w:b/>
                <w:bCs/>
                <w:sz w:val="20"/>
                <w:szCs w:val="20"/>
                <w:lang w:eastAsia="hu-HU"/>
              </w:rPr>
              <w:t xml:space="preserve">A kurzus célja, </w:t>
            </w:r>
            <w:r w:rsidRPr="00D72AA4">
              <w:rPr>
                <w:rFonts w:ascii="Times New Roman" w:eastAsia="Calibri" w:hAnsi="Times New Roman" w:cs="Times New Roman"/>
                <w:sz w:val="20"/>
                <w:szCs w:val="20"/>
                <w:lang w:eastAsia="hu-HU"/>
              </w:rPr>
              <w:t>hogy a hallgatók</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megismerjék és megértsék a gazdaságpolitika, a külkereskedelmi folyamatok, valamint a külgazdasági politika alapvető funkcióit, determinációit és céljait. További célként szerepel a tőke és a munkaerő nemzetközi áramlásának vizsgálata, valamint a kereskedelempolitikai eszközök kereskedelemre kifejtett hatásának becslése gravitációs regressziós keretrendszerben.</w:t>
            </w:r>
          </w:p>
          <w:p w:rsidR="00D72AA4" w:rsidRPr="00D72AA4" w:rsidRDefault="00D72AA4" w:rsidP="00D72AA4">
            <w:pPr>
              <w:spacing w:after="0" w:line="240" w:lineRule="auto"/>
              <w:rPr>
                <w:rFonts w:ascii="Times New Roman" w:eastAsia="Calibri" w:hAnsi="Times New Roman" w:cs="Times New Roman"/>
                <w:sz w:val="20"/>
                <w:szCs w:val="20"/>
                <w:lang w:eastAsia="hu-HU"/>
              </w:rPr>
            </w:pPr>
          </w:p>
        </w:tc>
      </w:tr>
      <w:tr w:rsidR="00D72AA4" w:rsidRPr="00D72AA4" w:rsidTr="00A57FE2">
        <w:trPr>
          <w:cantSplit/>
          <w:trHeight w:val="2975"/>
        </w:trPr>
        <w:tc>
          <w:tcPr>
            <w:tcW w:w="9939" w:type="dxa"/>
            <w:gridSpan w:val="10"/>
            <w:tcBorders>
              <w:top w:val="single" w:sz="4" w:space="0" w:color="auto"/>
              <w:left w:val="single" w:sz="4" w:space="0" w:color="auto"/>
              <w:right w:val="single" w:sz="4" w:space="0" w:color="000000"/>
            </w:tcBorders>
            <w:vAlign w:val="center"/>
          </w:tcPr>
          <w:p w:rsidR="00D72AA4" w:rsidRPr="00D72AA4" w:rsidRDefault="00D72AA4" w:rsidP="00D72AA4">
            <w:pPr>
              <w:spacing w:after="0" w:line="240" w:lineRule="auto"/>
              <w:jc w:val="both"/>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72AA4" w:rsidRPr="00D72AA4" w:rsidRDefault="00D72AA4" w:rsidP="00D72AA4">
            <w:pPr>
              <w:spacing w:after="0" w:line="240" w:lineRule="auto"/>
              <w:jc w:val="both"/>
              <w:rPr>
                <w:rFonts w:ascii="Times New Roman" w:eastAsia="Calibri" w:hAnsi="Times New Roman" w:cs="Times New Roman"/>
                <w:b/>
                <w:bCs/>
                <w:sz w:val="20"/>
                <w:szCs w:val="20"/>
                <w:lang w:eastAsia="hu-HU"/>
              </w:rPr>
            </w:pPr>
          </w:p>
          <w:p w:rsidR="00D72AA4" w:rsidRPr="00D72AA4" w:rsidRDefault="00D72AA4" w:rsidP="00D72AA4">
            <w:pPr>
              <w:spacing w:after="0" w:line="240" w:lineRule="auto"/>
              <w:ind w:left="402"/>
              <w:jc w:val="both"/>
              <w:rPr>
                <w:rFonts w:ascii="Times New Roman" w:eastAsia="Calibri" w:hAnsi="Times New Roman" w:cs="Times New Roman"/>
                <w:i/>
                <w:sz w:val="20"/>
                <w:szCs w:val="20"/>
                <w:lang w:eastAsia="hu-HU"/>
              </w:rPr>
            </w:pPr>
            <w:r w:rsidRPr="00D72AA4">
              <w:rPr>
                <w:rFonts w:ascii="Times New Roman" w:eastAsia="Calibri" w:hAnsi="Times New Roman" w:cs="Times New Roman"/>
                <w:i/>
                <w:sz w:val="20"/>
                <w:szCs w:val="20"/>
                <w:lang w:eastAsia="hu-HU"/>
              </w:rPr>
              <w:t xml:space="preserve">Tudás: </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nemzetgazdasági és nemzetközi összefüggések ismerete, a releváns gazdasági szereplőkre, funkciókra és folyamatokra vonatkozó hatások kiértékelése</w:t>
            </w:r>
          </w:p>
          <w:p w:rsidR="00D72AA4" w:rsidRPr="00D72AA4" w:rsidRDefault="00D72AA4" w:rsidP="00D72AA4">
            <w:pPr>
              <w:spacing w:after="0" w:line="240" w:lineRule="auto"/>
              <w:ind w:left="402"/>
              <w:jc w:val="both"/>
              <w:rPr>
                <w:rFonts w:ascii="Times New Roman" w:eastAsia="Calibri" w:hAnsi="Times New Roman" w:cs="Times New Roman"/>
                <w:i/>
                <w:sz w:val="20"/>
                <w:szCs w:val="20"/>
                <w:lang w:eastAsia="hu-HU"/>
              </w:rPr>
            </w:pPr>
            <w:r w:rsidRPr="00D72AA4">
              <w:rPr>
                <w:rFonts w:ascii="Times New Roman" w:eastAsia="Calibri" w:hAnsi="Times New Roman" w:cs="Times New Roman"/>
                <w:i/>
                <w:sz w:val="20"/>
                <w:szCs w:val="20"/>
                <w:lang w:eastAsia="hu-HU"/>
              </w:rPr>
              <w:t>Képesség:</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modellszerű gondolkodás, elméleti módszerek gyakorlati alkalmazása, gazdaságpolitikai javaslattétel</w:t>
            </w:r>
          </w:p>
          <w:p w:rsidR="00D72AA4" w:rsidRPr="00D72AA4" w:rsidRDefault="00D72AA4" w:rsidP="00D72AA4">
            <w:pPr>
              <w:spacing w:after="0" w:line="240" w:lineRule="auto"/>
              <w:ind w:left="402"/>
              <w:jc w:val="both"/>
              <w:rPr>
                <w:rFonts w:ascii="Times New Roman" w:eastAsia="Calibri" w:hAnsi="Times New Roman" w:cs="Times New Roman"/>
                <w:i/>
                <w:sz w:val="20"/>
                <w:szCs w:val="20"/>
                <w:lang w:eastAsia="hu-HU"/>
              </w:rPr>
            </w:pPr>
            <w:r w:rsidRPr="00D72AA4">
              <w:rPr>
                <w:rFonts w:ascii="Times New Roman" w:eastAsia="Calibri" w:hAnsi="Times New Roman" w:cs="Times New Roman"/>
                <w:i/>
                <w:sz w:val="20"/>
                <w:szCs w:val="20"/>
                <w:lang w:eastAsia="hu-HU"/>
              </w:rPr>
              <w:t>Attitűd:</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konstruktivitás, kritikus gondolkodás, elemzőképesség, fejlődésre törekvés</w:t>
            </w:r>
          </w:p>
          <w:p w:rsidR="00D72AA4" w:rsidRPr="00D72AA4" w:rsidRDefault="00D72AA4" w:rsidP="00D72AA4">
            <w:pPr>
              <w:spacing w:after="0" w:line="240" w:lineRule="auto"/>
              <w:ind w:left="402"/>
              <w:jc w:val="both"/>
              <w:rPr>
                <w:rFonts w:ascii="Times New Roman" w:eastAsia="Calibri" w:hAnsi="Times New Roman" w:cs="Times New Roman"/>
                <w:i/>
                <w:sz w:val="20"/>
                <w:szCs w:val="20"/>
                <w:lang w:eastAsia="hu-HU"/>
              </w:rPr>
            </w:pPr>
            <w:r w:rsidRPr="00D72AA4">
              <w:rPr>
                <w:rFonts w:ascii="Times New Roman" w:eastAsia="Calibri" w:hAnsi="Times New Roman" w:cs="Times New Roman"/>
                <w:i/>
                <w:sz w:val="20"/>
                <w:szCs w:val="20"/>
                <w:lang w:eastAsia="hu-HU"/>
              </w:rPr>
              <w:t>Autonómia és felelősség:</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döntésképesség, felelősségteljes gondolkodás, gazdasági folyamatok elemzése</w:t>
            </w:r>
          </w:p>
          <w:p w:rsidR="00D72AA4" w:rsidRPr="00D72AA4" w:rsidRDefault="00D72AA4" w:rsidP="00D72AA4">
            <w:pPr>
              <w:spacing w:after="0" w:line="240" w:lineRule="auto"/>
              <w:ind w:left="720"/>
              <w:rPr>
                <w:rFonts w:ascii="Times New Roman" w:eastAsia="Arial Unicode MS" w:hAnsi="Times New Roman" w:cs="Times New Roman"/>
                <w:b/>
                <w:bCs/>
                <w:sz w:val="20"/>
                <w:szCs w:val="20"/>
                <w:lang w:eastAsia="hu-HU"/>
              </w:rPr>
            </w:pPr>
          </w:p>
        </w:tc>
      </w:tr>
      <w:tr w:rsidR="00D72AA4" w:rsidRPr="00D72AA4" w:rsidTr="00A57FE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A kurzus rövid tartalma, témakörei</w:t>
            </w:r>
          </w:p>
          <w:p w:rsidR="00D72AA4" w:rsidRPr="00D72AA4" w:rsidRDefault="00D72AA4" w:rsidP="00D72AA4">
            <w:pPr>
              <w:spacing w:after="0" w:line="240" w:lineRule="auto"/>
              <w:jc w:val="both"/>
              <w:rPr>
                <w:rFonts w:ascii="Times New Roman" w:eastAsia="Calibri" w:hAnsi="Times New Roman" w:cs="Times New Roman"/>
                <w:sz w:val="20"/>
                <w:szCs w:val="20"/>
                <w:lang w:eastAsia="hu-HU"/>
              </w:rPr>
            </w:pP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color w:val="000000"/>
                <w:sz w:val="20"/>
                <w:szCs w:val="20"/>
                <w:lang w:eastAsia="hu-HU"/>
              </w:rPr>
              <w:t>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 A gravitációs modell ökonometriai kerete. Keresztmetszeti lineáris regresszió. Panelregressziós módszerek.</w:t>
            </w:r>
          </w:p>
          <w:p w:rsidR="00D72AA4" w:rsidRPr="00D72AA4" w:rsidRDefault="00D72AA4" w:rsidP="00D72AA4">
            <w:pPr>
              <w:spacing w:after="0" w:line="240" w:lineRule="auto"/>
              <w:ind w:right="138"/>
              <w:jc w:val="both"/>
              <w:rPr>
                <w:rFonts w:ascii="Times New Roman" w:eastAsia="Calibri" w:hAnsi="Times New Roman" w:cs="Times New Roman"/>
                <w:sz w:val="20"/>
                <w:szCs w:val="20"/>
                <w:lang w:eastAsia="hu-HU"/>
              </w:rPr>
            </w:pPr>
          </w:p>
        </w:tc>
      </w:tr>
      <w:tr w:rsidR="00D72AA4" w:rsidRPr="00D72AA4" w:rsidTr="00A57FE2">
        <w:trPr>
          <w:trHeight w:val="1041"/>
        </w:trPr>
        <w:tc>
          <w:tcPr>
            <w:tcW w:w="9939" w:type="dxa"/>
            <w:gridSpan w:val="10"/>
            <w:tcBorders>
              <w:top w:val="single" w:sz="4" w:space="0" w:color="auto"/>
              <w:left w:val="single" w:sz="4" w:space="0" w:color="auto"/>
              <w:bottom w:val="single" w:sz="4" w:space="0" w:color="auto"/>
              <w:right w:val="single" w:sz="4" w:space="0" w:color="auto"/>
            </w:tcBorders>
          </w:tcPr>
          <w:p w:rsidR="00D72AA4" w:rsidRPr="00D72AA4" w:rsidRDefault="00D72AA4" w:rsidP="00D72AA4">
            <w:pPr>
              <w:spacing w:after="0" w:line="240" w:lineRule="auto"/>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Tervezett tanulási tevékenységek, tanítási módszerek</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Modellszerű megvilágítás, számolásos feladatok reális, a valósághoz közelítő példákkal. Kereskedelempolitikai eszközök hatásainak vizsgálata ökonometriai módszerrel.</w:t>
            </w:r>
          </w:p>
        </w:tc>
      </w:tr>
      <w:tr w:rsidR="00D72AA4" w:rsidRPr="00D72AA4" w:rsidTr="00A57FE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72AA4" w:rsidRPr="00D72AA4" w:rsidRDefault="00D72AA4" w:rsidP="00D72AA4">
            <w:pPr>
              <w:spacing w:after="0" w:line="240" w:lineRule="auto"/>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Értékelés</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Félév végi vizsgadolgozat (70%) Házi feladatok (30%)</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0-59% elégtelen, 60-69% elégséges, 70-79% közepes, 80-89% jó, 90-100% jeles</w:t>
            </w:r>
          </w:p>
          <w:p w:rsidR="00D72AA4" w:rsidRPr="00D72AA4" w:rsidRDefault="00D72AA4" w:rsidP="00D72AA4">
            <w:pPr>
              <w:spacing w:after="0" w:line="240" w:lineRule="auto"/>
              <w:rPr>
                <w:rFonts w:ascii="Times New Roman" w:eastAsia="Calibri" w:hAnsi="Times New Roman" w:cs="Times New Roman"/>
                <w:sz w:val="20"/>
                <w:szCs w:val="20"/>
                <w:lang w:eastAsia="hu-HU"/>
              </w:rPr>
            </w:pPr>
          </w:p>
        </w:tc>
      </w:tr>
      <w:tr w:rsidR="00D72AA4" w:rsidRPr="00D72AA4" w:rsidTr="00A57FE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72AA4" w:rsidRPr="00D72AA4" w:rsidRDefault="00D72AA4" w:rsidP="00D72AA4">
            <w:pPr>
              <w:spacing w:after="0" w:line="240" w:lineRule="auto"/>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Kötelező szakirodalom:</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Krugman, P.R. – Obstfeld, M. (2018): International Economics, Therory and Policy, 11th Edition, Pearson International Edition</w:t>
            </w:r>
          </w:p>
          <w:p w:rsidR="00D72AA4" w:rsidRPr="00D72AA4" w:rsidRDefault="00D72AA4" w:rsidP="00D72AA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Palánkai T. – Kengyel Á. – Kutasi G. – Benczes I. – Nagy S. Gy. (2011): A globális és regionális integráció gazdaságtana, Akadémiai Kiadó, Budapest (kijelölt részek)</w:t>
            </w:r>
          </w:p>
          <w:p w:rsidR="00D72AA4" w:rsidRPr="00D72AA4" w:rsidRDefault="00D72AA4" w:rsidP="00D72AA4">
            <w:pPr>
              <w:spacing w:after="0" w:line="240" w:lineRule="auto"/>
              <w:rPr>
                <w:rFonts w:ascii="Times New Roman" w:eastAsia="Calibri" w:hAnsi="Times New Roman" w:cs="Times New Roman"/>
                <w:b/>
                <w:bCs/>
                <w:sz w:val="20"/>
                <w:szCs w:val="20"/>
                <w:lang w:eastAsia="hu-HU"/>
              </w:rPr>
            </w:pPr>
            <w:r w:rsidRPr="00D72AA4">
              <w:rPr>
                <w:rFonts w:ascii="Times New Roman" w:eastAsia="Calibri" w:hAnsi="Times New Roman" w:cs="Times New Roman"/>
                <w:b/>
                <w:bCs/>
                <w:sz w:val="20"/>
                <w:szCs w:val="20"/>
                <w:lang w:eastAsia="hu-HU"/>
              </w:rPr>
              <w:t>Ajánlott szakirodalom:</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Choi, E. K.—Hartigan, J. C. (eds) (2003): Handbook of International Trade, Blackwell Publishing</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Choi, E. K.—Hartigan, J. C. (eds) (2005): Handbook of International Trade, Volume II, Economic and Legal Analyses of Trade Policy and Institutions, Blackwell Publishing</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Cimoli, M.—Dosi, G.—Stiglitz, J. E. (eds) (2009): Industrial Policy and Development – The Political Economy of Capabilities Accumulation, Oxford University Press</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eastAsia="hu-HU"/>
              </w:rPr>
              <w:lastRenderedPageBreak/>
              <w:t>Gandolfo, Giancarlo (2013): International Trade Theory and Policy, 2nd Edition, Springer</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Hoekman, B.—Kostecki, M. M. (2001): The Political Economy of the World Trading System – The WTO and Beyond, Second Edition, Oxford University Press</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Kerr, W. A.—Gaisford, James D. (eds) (2007).: Handbook on International Trade Policy, Edward Elgar</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val="en-US" w:eastAsia="hu-HU"/>
              </w:rPr>
              <w:t>King, P.—King, S. (eds) (2005): International Economics and International Economic Policy – A Reader, 4th Edition, McGraw-Hill/Irwin</w:t>
            </w:r>
            <w:r w:rsidRPr="00D72AA4">
              <w:rPr>
                <w:rFonts w:ascii="Times New Roman" w:eastAsia="Calibri" w:hAnsi="Times New Roman" w:cs="Times New Roman"/>
                <w:sz w:val="20"/>
                <w:szCs w:val="20"/>
                <w:lang w:eastAsia="hu-HU"/>
              </w:rPr>
              <w:t xml:space="preserve"> </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eastAsia="hu-HU"/>
              </w:rPr>
              <w:t xml:space="preserve">Lynch, D. A. (2010): Trade and globalization – An introduction to regional trade agreements, </w:t>
            </w:r>
            <w:r w:rsidRPr="00D72AA4">
              <w:rPr>
                <w:rFonts w:ascii="Times New Roman" w:eastAsia="Calibri" w:hAnsi="Times New Roman" w:cs="Times New Roman"/>
                <w:color w:val="231F20"/>
                <w:sz w:val="20"/>
                <w:szCs w:val="20"/>
                <w:lang w:eastAsia="hu-HU"/>
              </w:rPr>
              <w:t>Rowman &amp; Littlefield Publishers, Inc</w:t>
            </w:r>
            <w:proofErr w:type="gramStart"/>
            <w:r w:rsidRPr="00D72AA4">
              <w:rPr>
                <w:rFonts w:ascii="Times New Roman" w:eastAsia="Calibri" w:hAnsi="Times New Roman" w:cs="Times New Roman"/>
                <w:color w:val="231F20"/>
                <w:sz w:val="20"/>
                <w:szCs w:val="20"/>
                <w:lang w:eastAsia="hu-HU"/>
              </w:rPr>
              <w:t>.,</w:t>
            </w:r>
            <w:proofErr w:type="gramEnd"/>
            <w:r w:rsidRPr="00D72AA4">
              <w:rPr>
                <w:rFonts w:ascii="Times New Roman" w:eastAsia="Calibri" w:hAnsi="Times New Roman" w:cs="Times New Roman"/>
                <w:color w:val="231F20"/>
                <w:sz w:val="20"/>
                <w:szCs w:val="20"/>
                <w:lang w:eastAsia="hu-HU"/>
              </w:rPr>
              <w:t xml:space="preserve"> Lanham</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Matsushita, M.—Schoenbaum, T. J., Mavroidis, Petros C. (2006): The World Trade Organization – Law, Practice, and Policy, The Oxford International Law Library, Oxford University Press</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D72AA4">
              <w:rPr>
                <w:rFonts w:ascii="Times New Roman" w:eastAsia="Calibri" w:hAnsi="Times New Roman" w:cs="Times New Roman"/>
                <w:sz w:val="20"/>
                <w:szCs w:val="20"/>
                <w:lang w:val="en-US" w:eastAsia="hu-HU"/>
              </w:rPr>
              <w:t>Trebilcock, M. J.—Howse, R. (2005): The Regulation of International Trade, 3rd Edition, Routledge</w:t>
            </w:r>
          </w:p>
          <w:p w:rsidR="00D72AA4" w:rsidRPr="00D72AA4" w:rsidRDefault="00D72AA4" w:rsidP="00D72AA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val="en-US" w:eastAsia="hu-HU"/>
              </w:rPr>
              <w:t>Head, K. – Mayer, T. (2013): Gravity Equations: Workhorse, Toolkit and Cookbook, [in:] Gopinath, Helpman and Rogoff (2013): Handbook of International Economics.</w:t>
            </w:r>
          </w:p>
        </w:tc>
      </w:tr>
    </w:tbl>
    <w:p w:rsidR="00D72AA4" w:rsidRPr="00D72AA4" w:rsidRDefault="00D72AA4" w:rsidP="00D72AA4">
      <w:pPr>
        <w:spacing w:after="0" w:line="240" w:lineRule="auto"/>
        <w:rPr>
          <w:rFonts w:ascii="Times New Roman" w:eastAsia="Calibri" w:hAnsi="Times New Roman" w:cs="Times New Roman"/>
          <w:sz w:val="20"/>
          <w:szCs w:val="20"/>
          <w:lang w:eastAsia="hu-HU"/>
        </w:rPr>
      </w:pPr>
    </w:p>
    <w:p w:rsidR="00D72AA4" w:rsidRPr="00D72AA4" w:rsidRDefault="00D72AA4" w:rsidP="00D72AA4">
      <w:pPr>
        <w:spacing w:after="0" w:line="240" w:lineRule="auto"/>
        <w:rPr>
          <w:rFonts w:ascii="Times New Roman" w:eastAsia="Calibri" w:hAnsi="Times New Roman" w:cs="Times New Roman"/>
          <w:sz w:val="20"/>
          <w:szCs w:val="20"/>
          <w:lang w:eastAsia="hu-HU"/>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12"/>
      </w:tblGrid>
      <w:tr w:rsidR="00D72AA4" w:rsidRPr="00D72AA4" w:rsidTr="00D00A8D">
        <w:trPr>
          <w:jc w:val="center"/>
        </w:trPr>
        <w:tc>
          <w:tcPr>
            <w:tcW w:w="9250" w:type="dxa"/>
            <w:gridSpan w:val="2"/>
            <w:shd w:val="clear" w:color="auto" w:fill="auto"/>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Heti bontott tematika</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Bevezetés</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Követelményrendszer megismerése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2.</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Gravitációs modellkeret a kereskedelempolitika vizsgálatához</w:t>
            </w:r>
          </w:p>
        </w:tc>
      </w:tr>
      <w:tr w:rsidR="00D72AA4" w:rsidRPr="00D72AA4" w:rsidTr="00D00A8D">
        <w:trPr>
          <w:jc w:val="center"/>
        </w:trPr>
        <w:tc>
          <w:tcPr>
            <w:tcW w:w="1838" w:type="dxa"/>
            <w:vMerge/>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kereskedelempolitikai hatások számszerűsítésének megismerése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3.</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Keresztmetszeti regressziós technikák, elméleti feltételek</w:t>
            </w:r>
          </w:p>
        </w:tc>
      </w:tr>
      <w:tr w:rsidR="00D72AA4" w:rsidRPr="00D72AA4" w:rsidTr="00D00A8D">
        <w:trPr>
          <w:jc w:val="center"/>
        </w:trPr>
        <w:tc>
          <w:tcPr>
            <w:tcW w:w="1838" w:type="dxa"/>
            <w:vMerge/>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Ökonometriai buktatók feltárása</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4.</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A WTO fejlődése és a regionalizmus hullámai</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XX. század globális kereskedelmi rendszerének és fejlődésének megértése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5.</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A kereskedelempolitika eszközei</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vámok, kvóták és exporttámogatások jóléti hatásainak elemzése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6.</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A kereskedelempolitika politikai gazdaságtana</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szabadkereskedelembe történő beavatkozás motivációinak, indítékainak megismerése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7.</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Kereskedelempolitika a fejlődő országokban</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fejlődő országok speciális gazdaságpolitikai felfogásainak kiértékelés</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8.</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Kereskedelempolitika a fejlett országokban</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nem tökéletes verseny miatt kialakuló stratégiai kereskedelempolitika megismerése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9.</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Globalizáció, bérek, környezet</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Globalizáció okozta bérkülönbségek, valamint a környezetszennyezés és a fejlettség kapcsolatának megértés</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10.</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A nemzetközi tőkeáramlás és munkaerőmobilitás elméleti és gyakorlati vonatkozásai</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tőkebefektetések és a migráció időbeli és térbeli vizsgálata</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11.</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Zárthelyi dolgozat</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Számadás a kurzusban tanultakról</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12.</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Panelregressziós módszerek</w:t>
            </w:r>
          </w:p>
        </w:tc>
      </w:tr>
      <w:tr w:rsidR="00D72AA4" w:rsidRPr="00D72AA4" w:rsidTr="00D00A8D">
        <w:trPr>
          <w:jc w:val="center"/>
        </w:trPr>
        <w:tc>
          <w:tcPr>
            <w:tcW w:w="1838" w:type="dxa"/>
            <w:vMerge/>
            <w:shd w:val="clear" w:color="auto" w:fill="auto"/>
            <w:vAlign w:val="center"/>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modernebb regressziós technikák megismerése</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13.</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Kereskedelempolitika hatásának számszerűsítése</w:t>
            </w:r>
          </w:p>
        </w:tc>
      </w:tr>
      <w:tr w:rsidR="00D72AA4" w:rsidRPr="00D72AA4" w:rsidTr="00D00A8D">
        <w:trPr>
          <w:jc w:val="center"/>
        </w:trPr>
        <w:tc>
          <w:tcPr>
            <w:tcW w:w="1838" w:type="dxa"/>
            <w:vMerge/>
            <w:shd w:val="clear" w:color="auto" w:fill="auto"/>
            <w:vAlign w:val="center"/>
          </w:tcPr>
          <w:p w:rsidR="00D72AA4" w:rsidRPr="00D72AA4" w:rsidRDefault="00D72AA4" w:rsidP="00D72AA4">
            <w:pPr>
              <w:spacing w:after="0" w:line="240" w:lineRule="auto"/>
              <w:jc w:val="center"/>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Regressziós vizsgálat egy konkrét mintán</w:t>
            </w:r>
          </w:p>
        </w:tc>
      </w:tr>
      <w:tr w:rsidR="00D72AA4" w:rsidRPr="00D72AA4" w:rsidTr="00D00A8D">
        <w:trPr>
          <w:jc w:val="center"/>
        </w:trPr>
        <w:tc>
          <w:tcPr>
            <w:tcW w:w="1838" w:type="dxa"/>
            <w:vMerge w:val="restart"/>
            <w:shd w:val="clear" w:color="auto" w:fill="auto"/>
            <w:vAlign w:val="center"/>
          </w:tcPr>
          <w:p w:rsidR="00D72AA4" w:rsidRPr="00D72AA4" w:rsidRDefault="00D72AA4" w:rsidP="00D72AA4">
            <w:pPr>
              <w:spacing w:after="0" w:line="240" w:lineRule="auto"/>
              <w:ind w:left="720"/>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14.</w:t>
            </w: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Összefoglalás</w:t>
            </w:r>
          </w:p>
        </w:tc>
      </w:tr>
      <w:tr w:rsidR="00D72AA4" w:rsidRPr="00D72AA4" w:rsidTr="00D00A8D">
        <w:trPr>
          <w:jc w:val="center"/>
        </w:trPr>
        <w:tc>
          <w:tcPr>
            <w:tcW w:w="1838" w:type="dxa"/>
            <w:vMerge/>
            <w:shd w:val="clear" w:color="auto" w:fill="auto"/>
          </w:tcPr>
          <w:p w:rsidR="00D72AA4" w:rsidRPr="00D72AA4" w:rsidRDefault="00D72AA4" w:rsidP="00D72AA4">
            <w:pPr>
              <w:numPr>
                <w:ilvl w:val="0"/>
                <w:numId w:val="1"/>
              </w:numPr>
              <w:spacing w:after="0" w:line="240" w:lineRule="auto"/>
              <w:rPr>
                <w:rFonts w:ascii="Times New Roman" w:eastAsia="Calibri" w:hAnsi="Times New Roman" w:cs="Times New Roman"/>
                <w:sz w:val="20"/>
                <w:szCs w:val="20"/>
                <w:lang w:eastAsia="hu-HU"/>
              </w:rPr>
            </w:pPr>
          </w:p>
        </w:tc>
        <w:tc>
          <w:tcPr>
            <w:tcW w:w="7412" w:type="dxa"/>
            <w:shd w:val="clear" w:color="auto" w:fill="auto"/>
          </w:tcPr>
          <w:p w:rsidR="00D72AA4" w:rsidRPr="00D72AA4" w:rsidRDefault="00D72AA4" w:rsidP="00D72AA4">
            <w:pPr>
              <w:spacing w:after="0" w:line="240" w:lineRule="auto"/>
              <w:jc w:val="both"/>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A kurzus során elhangzott ismeretek rendszerezése, összegzése</w:t>
            </w:r>
          </w:p>
        </w:tc>
      </w:tr>
    </w:tbl>
    <w:p w:rsidR="00D72AA4" w:rsidRPr="00D72AA4" w:rsidRDefault="00D72AA4" w:rsidP="00D72AA4">
      <w:pPr>
        <w:spacing w:after="0" w:line="240" w:lineRule="auto"/>
        <w:rPr>
          <w:rFonts w:ascii="Times New Roman" w:eastAsia="Calibri" w:hAnsi="Times New Roman" w:cs="Times New Roman"/>
          <w:sz w:val="20"/>
          <w:szCs w:val="20"/>
          <w:lang w:eastAsia="hu-HU"/>
        </w:rPr>
      </w:pPr>
      <w:r w:rsidRPr="00D72AA4">
        <w:rPr>
          <w:rFonts w:ascii="Times New Roman" w:eastAsia="Calibri" w:hAnsi="Times New Roman" w:cs="Times New Roman"/>
          <w:sz w:val="20"/>
          <w:szCs w:val="20"/>
          <w:lang w:eastAsia="hu-HU"/>
        </w:rPr>
        <w:t>*TE tanulási eredmények</w:t>
      </w:r>
    </w:p>
    <w:p w:rsidR="00D35406" w:rsidRDefault="00D35406">
      <w:pPr>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Calibri" w:hAnsi="Times New Roman" w:cs="Times New Roman"/>
                <w:b/>
                <w:sz w:val="20"/>
                <w:szCs w:val="20"/>
                <w:lang w:eastAsia="hu-HU"/>
              </w:rPr>
              <w:t>Az EU belső piaca</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Times New Roman" w:hAnsi="Times New Roman" w:cs="Times New Roman"/>
                <w:color w:val="000000"/>
                <w:sz w:val="20"/>
                <w:szCs w:val="20"/>
                <w:lang w:eastAsia="hu-HU"/>
              </w:rPr>
              <w:t>GT_MNGN503-17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Internal Market of the EU</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 GTK VNKI Európai Integrációs Tanszék</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K, GY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Dr.Tőkés Tibor</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adjunktus</w:t>
            </w:r>
          </w:p>
        </w:tc>
      </w:tr>
      <w:tr w:rsidR="00D35406" w:rsidRPr="00D35406" w:rsidTr="00D35406">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8A6DA7">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a mesterképzésben résztvevő hallgatók megismertetése az Európai Unió belső piacának rendszerével, működésével. A tárgy oktatóinak célja még annak elérése is, hogy a hallgatók majd a gyakorlatban is képesek legyenek ezen ismeretek alapján eligazodni a gazdasági életben, képesek legyenek a felmerülő problémákat értelmezni, elemezni, a</w:t>
            </w:r>
            <w:r w:rsidR="008A6DA7">
              <w:rPr>
                <w:rFonts w:ascii="Times New Roman" w:eastAsia="Calibri" w:hAnsi="Times New Roman" w:cs="Times New Roman"/>
                <w:sz w:val="20"/>
                <w:szCs w:val="20"/>
                <w:lang w:eastAsia="hu-HU"/>
              </w:rPr>
              <w:t>zokról önálló véleményt alkotni</w:t>
            </w:r>
            <w:r w:rsidR="00DC0886">
              <w:rPr>
                <w:rFonts w:ascii="Times New Roman" w:eastAsia="Calibri" w:hAnsi="Times New Roman" w:cs="Times New Roman"/>
                <w:sz w:val="20"/>
                <w:szCs w:val="20"/>
                <w:lang w:eastAsia="hu-HU"/>
              </w:rPr>
              <w: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közgazdász-jelölt a studium sikeres teljesítése után rendelkezik az Európai Unió belső piacával kapcsolatos alapvető fogalmak, elméletek, tények, ismeretével, elsajátította az azzal szaknyelvet, az EU belsőpiacával és annak működésével kapcsolatos legfontosabb összefüggéseket. Ismeri az EU belső piacával kapcsolatos legfontosabb történelmi eseményeket a belső piac kialakításának lépcsőfokait általánosságban és az egyes EU tagállamokra vonatkozóan. Tisztában van a belső piac működésével és az azzal kapcsolatban kialakult kihívások során felmerült problémákkal és az évek során az azokra adott válaszok jelentőségével. Ismeri a belső piac jogát, átlátja a folyamatos fejlődés következtében mélyülő integrációs területet. </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Az elsajátított alapismeretek segítségével képes tájékozódni a belső piaccal kapcsolatos folyamatokban értékelni és elemezni azokat. A tanult elméletek és ismeretek alkalmazásával tényeket és alapvető összefüggéseket képes feltár-ni, rendszerezni és elemezni, önálló következtetéseket, kritikai észrevételeket fogalmaz meg az Európai Unió egységes belső piacával illetve annak fejlődésével kapcsolatban. Követi és értelmezi a belső piaccal kapcsolatos legfontosabb világgazdasági, nemzetközi folyamatokat, a gazdaságpolitika és a szakterület szerint releváns, kapcsolódó szakpolitikák, jogszabályok változásait, azok hatásait, ezeket figyelembe veszi elemzései, javaslatai, döntései során. Képes az egyes országok szerepének értékelésére az EU gazdaságában, ismeri az Unió gazdasági folyamatait az egységes belső piac szerepét. </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elvégzése után, munkája során képes az EU belső piacával kapcsolatos változások illetve újdonságok befogadására illetve szakterületébe való beépítésére. Törekszik az elsajátított ismeretek figyelembevételére illetve a szakterületéhez szükséges az Európai Unió egységes belső piacával kapcsolatos információk figyelemmel kísérésére és ezen információk fölhasználására</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Önállóan képes az elsajátított ismeretek alapján az az EU belső piacával kapcsolatos véleményalkotásra. Döntései későbbi munkája során ezeket az ismereteket felhasználja illetve képes azokat önállóan fölhasználni szakterületével kapcsolatban</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8A6DA7" w:rsidRDefault="00D35406" w:rsidP="008A6DA7">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w:t>
            </w:r>
            <w:r w:rsidR="008A6DA7">
              <w:rPr>
                <w:rFonts w:ascii="Times New Roman" w:eastAsia="Calibri" w:hAnsi="Times New Roman" w:cs="Times New Roman"/>
                <w:b/>
                <w:bCs/>
                <w:sz w:val="20"/>
                <w:szCs w:val="20"/>
                <w:lang w:eastAsia="hu-HU"/>
              </w:rPr>
              <w:t>urzus rövid tartalma, témakörei</w:t>
            </w:r>
          </w:p>
          <w:p w:rsidR="00D35406" w:rsidRPr="00D35406" w:rsidRDefault="00D35406" w:rsidP="008A6DA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kezdetektől az egységes piacig: integrációelméleti alapok. A közös piac kialakulásának előzményei és az egységes Európa. A Szerződésektől a közös piac létrehozásáig. Az Egységes Belső Piaci Fehér Könyv és a SEA. Egységes piac: a politika új megközelítése, az 1980-as évektől 1993-ig, Jacques Delors. Az egységes piac és az intézményi reform kérdésének összekapcsolódása. A Maastrichti Szerződés. Az egységes piac és a négy alapszabadság – Az áruk szabad áramlása- Az EU árupiaca. A személyek szabad áramlása -Az uniós polgárság. -Az EU munkaerőpiaca. A szolgáltatások szabad áramlása - Az EU szolgáltatási piaca. A tőke szabad áramlása - Egységes tőkepiac az EU-ban. A egységes belső piac elméleti és gyakorlati keretei. A belső piac joga. Versenypolitika: az egységes piac felügyelete. Az egységes belső piac első tíz évének eredményei. Az egységes belső piac fejlődésének sajátosságai és problémái 2003 és 2005 között. Az EU versenyképességének növelésére irányuló erőfeszítések. Az egységes belső piac továbbfejlesztése 2006-2017. Ipar és K+F politika, Európa 2020 stratégia. A belső piac egy sajátos esete: a közös agrárpolitika. Gazdasági és monetáris unió</w:t>
            </w:r>
          </w:p>
        </w:tc>
      </w:tr>
      <w:tr w:rsidR="00D35406" w:rsidRPr="00D35406" w:rsidTr="00D3540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félév során a témával kapcsolatban hallgatók számára 14 előadás megtartására kerül sor, az előadásokból készült anyagokat hallgatók a félév során megkapják, azokat a félév során a szakirodalmakkal együtt felhasználhatják a felkészüléshez. Emellett a gyakorlatok alkalmával a hallgatók aktív közreműködésével elemezzük az egyes EU tagállamok belső piaci szerepét illetve gazdasági kapcsolatát a többi EU tagállammal.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félév írásbeli vizsgával zárul. A hallgatók ezen a vizsgán adnak számot a félévben megszerzett tudásukról. Emellett a gyakorlatokon szerzett érdemjegy és egy választott Európai Uniós ország belső piaci kapcsolatrendszeréről készített beadandó dolgozat is beszámításra kerül. A félév végi jegy a kollokvium, a gyakorlaton megszerzett érdemjegy és a beadandó átlagolásával kerül kialakításra a következőképpen: Kollokvium érdemjegy 60% Gyakorlati teljesítmény 40%(órai aktivitás beadandó 20-20%).</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érdemjegy megállapítása: 0-50% elégtelen (1), 51-63% elégséges (2), 64-76% közepes (3), 77-88% jó (4), 89-100% jeles (5).</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Várnay Ernő – Papp Mónika (2010): Az Európai Unió joga. Complex Kiadó, Budapest, 1126p (XI. és XVIII. fejezet)</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Kengyel Ákos (szerk.): Az Európai Unió közös politikái. Budapest: Akadémiai Kiadó, 2010, I, VI. és VII. fejezet</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Marján Attila (szerk.): Az Európai Unió gazdasága: minden, amit az EU gazdasági és pénzügyi politikáiról tudni kell. Budapest : HVG, 2005, III.2, III.3, IV.2, IV.3, IV.6.</w:t>
            </w:r>
            <w:proofErr w:type="gramStart"/>
            <w:r w:rsidRPr="00D35406">
              <w:rPr>
                <w:rFonts w:ascii="Times New Roman" w:eastAsia="Calibri" w:hAnsi="Times New Roman" w:cs="Times New Roman"/>
                <w:sz w:val="20"/>
                <w:szCs w:val="20"/>
                <w:lang w:eastAsia="hu-HU"/>
              </w:rPr>
              <w:t>a</w:t>
            </w:r>
            <w:proofErr w:type="gramEnd"/>
            <w:r w:rsidRPr="00D35406">
              <w:rPr>
                <w:rFonts w:ascii="Times New Roman" w:eastAsia="Calibri" w:hAnsi="Times New Roman" w:cs="Times New Roman"/>
                <w:sz w:val="20"/>
                <w:szCs w:val="20"/>
                <w:lang w:eastAsia="hu-HU"/>
              </w:rPr>
              <w:t xml:space="preserve"> és b, IV.7a és c. fejezet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Horváth Zoltán: Kézikönyv az Európai Unióról, HVG-ORAC Kiadó, 2011</w:t>
            </w:r>
          </w:p>
          <w:p w:rsidR="00D35406" w:rsidRPr="00D35406" w:rsidRDefault="00D35406" w:rsidP="008A6DA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Gáspár Pál: Az EU belső piacának fejlesztése, szerkezete és dinamikája; Rácz Margit: Az EU belső piacának fejlesztése, szerkezete és dinamikája. In: Fóti Gábor és Rácz Margit (szerk.): Az Európai Unió előtt álló kihívásokról és a magyar érdekekről, VKI és CEU</w:t>
            </w:r>
            <w:r w:rsidR="008A6DA7">
              <w:rPr>
                <w:rFonts w:ascii="Times New Roman" w:eastAsia="Calibri" w:hAnsi="Times New Roman" w:cs="Times New Roman"/>
                <w:sz w:val="20"/>
                <w:szCs w:val="20"/>
                <w:lang w:eastAsia="hu-HU"/>
              </w:rPr>
              <w:t xml:space="preserve"> ENS, Budapest, 2007, 121-144.o</w:t>
            </w:r>
          </w:p>
        </w:tc>
      </w:tr>
    </w:tbl>
    <w:p w:rsidR="00D35406" w:rsidRDefault="00D35406" w:rsidP="00D35406">
      <w:pPr>
        <w:spacing w:after="0" w:line="240" w:lineRule="auto"/>
        <w:rPr>
          <w:rFonts w:ascii="Times New Roman" w:eastAsia="Calibri" w:hAnsi="Times New Roman" w:cs="Times New Roman"/>
          <w:sz w:val="20"/>
          <w:szCs w:val="20"/>
          <w:lang w:eastAsia="hu-HU"/>
        </w:rPr>
      </w:pPr>
    </w:p>
    <w:p w:rsidR="008A6DA7" w:rsidRDefault="008A6DA7" w:rsidP="00D35406">
      <w:pPr>
        <w:spacing w:after="0" w:line="240" w:lineRule="auto"/>
        <w:rPr>
          <w:rFonts w:ascii="Times New Roman" w:eastAsia="Calibri" w:hAnsi="Times New Roman" w:cs="Times New Roman"/>
          <w:sz w:val="20"/>
          <w:szCs w:val="20"/>
          <w:lang w:eastAsia="hu-HU"/>
        </w:rPr>
      </w:pPr>
    </w:p>
    <w:p w:rsidR="008A6DA7" w:rsidRPr="00D35406" w:rsidRDefault="008A6DA7"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kezdetektől az egységes piacig I: Történet, integrációelméleti megközelítés</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Az előadás után a hallgatók tisztában lesznek a közös piac kialakulásának előzményeivel a Római Szerződésektől az 1970-es évek válságáig.</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kezdetektől az egységes piacig II: Az egységes piac: a politika új megközelítése</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megismerik az 1980-as évek változásait, amikor átalakult a politika hozzáállása a gazdasági integráció mélyítéséhez. Ebben a folyamatban az olajválságok illetve Európa fokozatos gazdasági jelentőségcsökkenése mellett nagy szerepe volt Jacques Delors Bizottsági elnöknek. </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tabs>
                <w:tab w:val="left" w:pos="433"/>
              </w:tabs>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Cs/>
                <w:sz w:val="20"/>
                <w:szCs w:val="20"/>
                <w:lang w:eastAsia="hu-HU"/>
              </w:rPr>
              <w:t>A kezdetektől az egységes piacig III-</w:t>
            </w:r>
            <w:r w:rsidRPr="00D35406">
              <w:rPr>
                <w:rFonts w:ascii="Times New Roman" w:eastAsia="Calibri" w:hAnsi="Times New Roman" w:cs="Times New Roman"/>
                <w:sz w:val="20"/>
                <w:szCs w:val="20"/>
                <w:lang w:eastAsia="hu-HU"/>
              </w:rPr>
              <w:t xml:space="preserve"> Az egységes piac és az intézményi reform kérdésének összekapcsolódása</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közös piac kialakításához szükség volt a Római Szerződés módosítására, ezzel kapcsolatban egy sor intézkedést kellet meghozni, ennek ismeretével a hallgatók megértik milyen hosszú út vezetett az egységes belső piac kialakításig illetve a gazdasági unió szintjéig. A hallgatók megismerik a Belső Piaci Fehér könyv intézkedéseit, illetve az Egységes Európai Okmány vonatkozó részeit.</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egységes piac és a négy alapszabadság I: Az áruk szabad áramlása- Az EU árupiaca</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az előadás során megismerkednek az egységes belső piac árukra vonatkozó szabályozásával. </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i/>
                <w:sz w:val="20"/>
                <w:szCs w:val="20"/>
                <w:lang w:eastAsia="hu-HU"/>
              </w:rPr>
            </w:pPr>
            <w:r w:rsidRPr="00D35406">
              <w:rPr>
                <w:rFonts w:ascii="Times New Roman" w:eastAsia="Calibri" w:hAnsi="Times New Roman" w:cs="Times New Roman"/>
                <w:sz w:val="20"/>
                <w:szCs w:val="20"/>
                <w:lang w:eastAsia="hu-HU"/>
              </w:rPr>
              <w:t>Az egységes piac és a négy alapszabadság II. A személyek szabad áramlása -Az EU munkaerőpiaca</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megismerkednek a személyek szabad mozgására vonatkozó Európai Uniós szabályozással.</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egységes piac és a négy alapszabadság III. A szolgáltatások szabad áramlása - Az EU szolgáltatási piaca</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megismerkednek az Európai Unió egységes belső piacának szolgáltatásokra vonatkozó szabályozásával.</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egységes piac és a négy alapszabadság IV. A tőke szabad áramlása - Egységes tőkepiac az EU-ban</w:t>
            </w:r>
          </w:p>
        </w:tc>
      </w:tr>
      <w:tr w:rsidR="00D35406" w:rsidRPr="00D35406" w:rsidTr="00D35406">
        <w:trPr>
          <w:trHeight w:val="43"/>
        </w:trPr>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megismerkednek a tőkére vonatkozó EU-s szabályozással.</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egységes belső piac elméleti és gyakorlati keretei</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megismerkednek az egységes belső piac működésével illetve az EU-n belül lejátszódó gazdasági folyamatokkal.</w:t>
            </w:r>
          </w:p>
        </w:tc>
      </w:tr>
    </w:tbl>
    <w:p w:rsidR="008A6DA7" w:rsidRDefault="008A6DA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belső piac joga és a versenypolitika: az egységes piac felügyelete</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után átláthatják az EU jogának belső piacra vonatkozó részét, illetve az EU versenyszabályozását.</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8A6DA7">
            <w:pPr>
              <w:keepNext/>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egységes belső piac fejlődése és eredményei I.</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megismerik az egységes belső piac első tíz évének eredményeit.</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egységes belső piac fejlődése és eredményei II.</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megismerik az egységes belső piac fejlődésének sajátosságait és problémáit a 2003 és 2005 közötti időszakot illetően</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Az EU versenyképességének növelésére irányuló erőfeszítések. </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A hallgatók az előadás során megismerik az egységes belső piac továbbfejlesztése érdekében tett lépéseket illetve a 2006-2017-es időszak között lejátszódott eseményeket. </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belső piac egy sajátos esete: a közös agrárpolitika</w:t>
            </w:r>
          </w:p>
        </w:tc>
      </w:tr>
      <w:tr w:rsidR="00D35406" w:rsidRPr="00D35406" w:rsidTr="00D35406">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A hallgatók az előadás során megismerik, a KAP folyamatait, működését, szabályozását. </w:t>
            </w:r>
          </w:p>
        </w:tc>
      </w:tr>
      <w:tr w:rsidR="00D35406" w:rsidRPr="00D35406" w:rsidTr="00D35406">
        <w:tc>
          <w:tcPr>
            <w:tcW w:w="1529" w:type="dxa"/>
            <w:vMerge w:val="restart"/>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Gazdasági és monetáris unió</w:t>
            </w:r>
          </w:p>
        </w:tc>
      </w:tr>
      <w:tr w:rsidR="00D35406" w:rsidRPr="00D35406" w:rsidTr="00D35406">
        <w:trPr>
          <w:trHeight w:val="70"/>
        </w:trPr>
        <w:tc>
          <w:tcPr>
            <w:tcW w:w="1529" w:type="dxa"/>
            <w:vMerge/>
            <w:shd w:val="clear" w:color="auto" w:fill="auto"/>
          </w:tcPr>
          <w:p w:rsidR="00D35406" w:rsidRPr="00D35406" w:rsidRDefault="00D35406" w:rsidP="00D35406">
            <w:pPr>
              <w:numPr>
                <w:ilvl w:val="0"/>
                <w:numId w:val="1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 hallgatók az előadás során megismerik a GMU-t mint az egységes belső piac működéséhez szükséges nélkülözhetetlen támogató szakpolitikát.</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tanulási eredmények</w:t>
      </w:r>
    </w:p>
    <w:p w:rsidR="00D35406" w:rsidRDefault="00D35406">
      <w:pPr>
        <w:rPr>
          <w:rFonts w:ascii="Times New Roman" w:hAnsi="Times New Roman" w:cs="Times New Roman"/>
          <w:color w:val="FF0000"/>
          <w:sz w:val="20"/>
          <w:szCs w:val="20"/>
        </w:rPr>
      </w:pPr>
      <w:r>
        <w:rPr>
          <w:rFonts w:ascii="Times New Roman" w:hAnsi="Times New Roman" w:cs="Times New Roman"/>
          <w:color w:val="FF0000"/>
          <w:sz w:val="20"/>
          <w:szCs w:val="20"/>
        </w:rPr>
        <w:br w:type="page"/>
      </w:r>
    </w:p>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35406" w:rsidRPr="00D35406" w:rsidTr="00D3540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16"/>
                <w:lang w:eastAsia="hu-HU"/>
              </w:rPr>
            </w:pPr>
            <w:r w:rsidRPr="00D35406">
              <w:rPr>
                <w:rFonts w:ascii="Times New Roman" w:eastAsia="Arial Unicode MS" w:hAnsi="Times New Roman" w:cs="Times New Roman"/>
                <w:b/>
                <w:sz w:val="20"/>
                <w:szCs w:val="20"/>
                <w:lang w:eastAsia="hu-HU"/>
              </w:rPr>
              <w:t>Cégjog az Európai Unióban</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Kódja</w:t>
            </w:r>
            <w:r w:rsidRPr="00D35406">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b/>
                <w:sz w:val="20"/>
                <w:szCs w:val="20"/>
                <w:lang w:eastAsia="hu-HU"/>
              </w:rPr>
            </w:pPr>
            <w:r w:rsidRPr="00D35406">
              <w:rPr>
                <w:rFonts w:ascii="Times New Roman" w:eastAsia="Arial Unicode MS" w:hAnsi="Times New Roman" w:cs="Times New Roman"/>
                <w:b/>
                <w:sz w:val="20"/>
                <w:szCs w:val="20"/>
                <w:lang w:eastAsia="hu-HU"/>
              </w:rPr>
              <w:t>GT_MNGN505-17</w:t>
            </w:r>
          </w:p>
        </w:tc>
      </w:tr>
      <w:tr w:rsidR="00D35406" w:rsidRPr="00D35406" w:rsidTr="00D3540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val="en-GB" w:eastAsia="hu-HU"/>
              </w:rPr>
              <w:t>Corporation Law in the European Union</w:t>
            </w: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p>
        </w:tc>
      </w:tr>
      <w:tr w:rsidR="00D35406" w:rsidRPr="00D35406" w:rsidTr="00D3540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bCs/>
                <w:sz w:val="24"/>
                <w:szCs w:val="24"/>
                <w:lang w:eastAsia="hu-HU"/>
              </w:rPr>
            </w:pPr>
          </w:p>
        </w:tc>
      </w:tr>
      <w:tr w:rsidR="00D35406" w:rsidRPr="00D35406" w:rsidTr="00D3540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DE GTK Világgazdasági és Nemzetközi Kapcsolatok Intézet</w:t>
            </w:r>
          </w:p>
        </w:tc>
      </w:tr>
      <w:tr w:rsidR="00D35406" w:rsidRPr="00D35406" w:rsidTr="00D3540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Arial Unicode MS" w:hAnsi="Times New Roman" w:cs="Times New Roman"/>
                <w:sz w:val="20"/>
                <w:szCs w:val="20"/>
                <w:lang w:eastAsia="hu-HU"/>
              </w:rPr>
            </w:pPr>
            <w:r w:rsidRPr="00D35406">
              <w:rPr>
                <w:rFonts w:ascii="Times New Roman" w:eastAsia="Arial Unicode MS" w:hAnsi="Times New Roman" w:cs="Times New Roman"/>
                <w:sz w:val="20"/>
                <w:szCs w:val="20"/>
                <w:lang w:eastAsia="hu-HU"/>
              </w:rPr>
              <w:t>-</w:t>
            </w:r>
          </w:p>
        </w:tc>
      </w:tr>
      <w:tr w:rsidR="00D35406" w:rsidRPr="00D35406" w:rsidTr="00D3540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Oktatás nyelve</w:t>
            </w:r>
          </w:p>
        </w:tc>
      </w:tr>
      <w:tr w:rsidR="00D35406" w:rsidRPr="00D35406" w:rsidTr="00D3540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16"/>
                <w:szCs w:val="16"/>
                <w:lang w:eastAsia="hu-HU"/>
              </w:rPr>
            </w:pPr>
          </w:p>
        </w:tc>
      </w:tr>
      <w:tr w:rsidR="00D35406" w:rsidRPr="00D35406" w:rsidTr="00D3540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V</w:t>
            </w:r>
          </w:p>
        </w:tc>
        <w:tc>
          <w:tcPr>
            <w:tcW w:w="855" w:type="dxa"/>
            <w:vMerge w:val="restart"/>
            <w:tcBorders>
              <w:top w:val="single" w:sz="4" w:space="0" w:color="auto"/>
              <w:left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magyar</w:t>
            </w:r>
          </w:p>
        </w:tc>
      </w:tr>
      <w:tr w:rsidR="00D35406" w:rsidRPr="00D35406" w:rsidTr="00D3540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r w:rsidRPr="00D35406">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sz w:val="16"/>
                <w:szCs w:val="16"/>
                <w:lang w:eastAsia="hu-HU"/>
              </w:rPr>
            </w:pPr>
          </w:p>
        </w:tc>
      </w:tr>
      <w:tr w:rsidR="00D35406" w:rsidRPr="00D35406" w:rsidTr="00D3540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5406" w:rsidRPr="00D35406" w:rsidRDefault="00D35406" w:rsidP="00D35406">
            <w:pPr>
              <w:spacing w:after="0" w:line="240" w:lineRule="auto"/>
              <w:ind w:left="20"/>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20"/>
                <w:szCs w:val="20"/>
                <w:lang w:eastAsia="hu-HU"/>
              </w:rPr>
            </w:pPr>
            <w:r w:rsidRPr="00D35406">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16"/>
                <w:szCs w:val="16"/>
                <w:lang w:eastAsia="hu-HU"/>
              </w:rPr>
            </w:pPr>
            <w:r w:rsidRPr="00D35406">
              <w:rPr>
                <w:rFonts w:ascii="Times New Roman" w:eastAsia="Calibri" w:hAnsi="Times New Roman" w:cs="Times New Roman"/>
                <w:b/>
                <w:sz w:val="16"/>
                <w:szCs w:val="16"/>
                <w:lang w:eastAsia="hu-HU"/>
              </w:rPr>
              <w:t>Dr. Törő Emese</w:t>
            </w:r>
          </w:p>
        </w:tc>
        <w:tc>
          <w:tcPr>
            <w:tcW w:w="855" w:type="dxa"/>
            <w:tcBorders>
              <w:top w:val="single" w:sz="4" w:space="0" w:color="auto"/>
              <w:left w:val="nil"/>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Arial Unicode MS" w:hAnsi="Times New Roman" w:cs="Times New Roman"/>
                <w:sz w:val="16"/>
                <w:szCs w:val="16"/>
                <w:lang w:eastAsia="hu-HU"/>
              </w:rPr>
            </w:pPr>
            <w:r w:rsidRPr="00D35406">
              <w:rPr>
                <w:rFonts w:ascii="Times New Roman" w:eastAsia="Calibri" w:hAnsi="Times New Roman" w:cs="Times New Roman"/>
                <w:sz w:val="20"/>
                <w:szCs w:val="20"/>
                <w:lang w:eastAsia="hu-HU"/>
              </w:rPr>
              <w:t>beosztása</w:t>
            </w:r>
            <w:r w:rsidRPr="00D35406">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5406" w:rsidRPr="00D35406" w:rsidRDefault="00D35406" w:rsidP="00D35406">
            <w:pPr>
              <w:spacing w:after="0" w:line="240" w:lineRule="auto"/>
              <w:jc w:val="center"/>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egyetemi docens</w:t>
            </w:r>
          </w:p>
        </w:tc>
      </w:tr>
      <w:tr w:rsidR="00D35406" w:rsidRPr="00D35406" w:rsidTr="00D3540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 kurzus célja, </w:t>
            </w:r>
            <w:r w:rsidRPr="00D35406">
              <w:rPr>
                <w:rFonts w:ascii="Times New Roman" w:eastAsia="Calibri" w:hAnsi="Times New Roman" w:cs="Times New Roman"/>
                <w:sz w:val="20"/>
                <w:szCs w:val="20"/>
                <w:lang w:eastAsia="hu-HU"/>
              </w:rPr>
              <w:t>hogy a hallgatók</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Arial Narrow"/>
                <w:sz w:val="20"/>
                <w:szCs w:val="20"/>
                <w:lang w:eastAsia="hu-HU"/>
              </w:rPr>
            </w:pPr>
            <w:r w:rsidRPr="00D35406">
              <w:rPr>
                <w:rFonts w:ascii="Times New Roman" w:eastAsia="Calibri" w:hAnsi="Times New Roman" w:cs="Arial Narrow"/>
                <w:sz w:val="20"/>
                <w:szCs w:val="20"/>
                <w:lang w:eastAsia="hu-HU"/>
              </w:rPr>
              <w:t>megismerkedjenek a Magyarországon létrehozható cégformák működési sajátosságai mellett a társasági jogi és cégjogi vonatkozású Európai Uniós rendeletek és irányelvek által megfogalmazott követelményekkel, s a kurzus az anyagi jogi szabályozás mellett az eljárásjogi normákkal együtt komplex képet kíván nyújtani a gazdálkodó szervezetek jogi szabályozásáról. Külön hangsúlyt kapnak az EK rendeletek által életre hívott szupranacionális szervezetek alapítási és működési sajátosságai. Szeminárium keretében pedig az egyes cégformák szerződésmintáinak kitöltésével és jogesetek megoldásával az elméleti tudás gyakorlati alkalmazására is sor kerül.</w:t>
            </w:r>
          </w:p>
        </w:tc>
      </w:tr>
      <w:tr w:rsidR="00D35406" w:rsidRPr="00D35406" w:rsidTr="00D35406">
        <w:trPr>
          <w:cantSplit/>
          <w:trHeight w:val="1400"/>
        </w:trPr>
        <w:tc>
          <w:tcPr>
            <w:tcW w:w="9939" w:type="dxa"/>
            <w:gridSpan w:val="10"/>
            <w:tcBorders>
              <w:top w:val="single" w:sz="4" w:space="0" w:color="auto"/>
              <w:left w:val="single" w:sz="4" w:space="0" w:color="auto"/>
              <w:right w:val="single" w:sz="4" w:space="0" w:color="000000"/>
            </w:tcBorders>
            <w:vAlign w:val="center"/>
          </w:tcPr>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35406" w:rsidRPr="00D35406" w:rsidRDefault="00D35406" w:rsidP="00D35406">
            <w:pPr>
              <w:spacing w:after="0" w:line="240" w:lineRule="auto"/>
              <w:jc w:val="both"/>
              <w:rPr>
                <w:rFonts w:ascii="Times New Roman" w:eastAsia="Calibri" w:hAnsi="Times New Roman" w:cs="Times New Roman"/>
                <w:b/>
                <w:bCs/>
                <w:sz w:val="20"/>
                <w:szCs w:val="20"/>
                <w:lang w:eastAsia="hu-HU"/>
              </w:rPr>
            </w:pP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 xml:space="preserve">Tudás: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hallgató olyan mélyreható gazdasági jogi ismereteket sajátít el, melyek révén képes eligazodni a különböző vállalkozási formák sajátosságai között a magyar és az EU-s normák által megszabott kritériumok ismeretében. A kurzus előadásai három fő tématerület köré fókuszálódnak: 1. Az Európai Unió jogrendszere, az elsődleges és másodlagos jogforrások szerepe és hatása a magyar társasági jog tekintetében. 2. Az egyes vállalkozási formák alapítási és működési specifikumai az EU-s normák tükrében 3. A szupranacionális jogalanyok sajátosságai.</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Képesség: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Legyen tisztában az egyéni és társas vállalkozási formák típusaira jellemző speciális sajátosságokkal, az EK irányelvek jogharmonizációs törekvései által meghatározott célok tükrében a kialakult magyar megoldásokkal.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Tudja elhelyezni a gazdálkodó szervezetek alanyai között a tanult szervezeti formákat, ismerje az elhatárolási szempontjaikat, lényegi vonásaikat.  </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Legyen képes a cégekhez kapcsolódó alapítási és megszüntetési eljárások elkülönítésére, azok alapvető céljainak felismerésére. az Európai Unióban</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color w:val="000000"/>
                <w:sz w:val="20"/>
                <w:szCs w:val="20"/>
                <w:lang w:eastAsia="hu-HU"/>
              </w:rPr>
            </w:pPr>
            <w:r w:rsidRPr="00D35406">
              <w:rPr>
                <w:rFonts w:ascii="Times New Roman" w:eastAsia="Calibri" w:hAnsi="Times New Roman" w:cs="Times New Roman"/>
                <w:sz w:val="20"/>
                <w:szCs w:val="20"/>
                <w:lang w:eastAsia="hu-HU"/>
              </w:rPr>
              <w:t>Tudja alkalmazni a gyakorlatban</w:t>
            </w:r>
            <w:r w:rsidRPr="00D35406">
              <w:rPr>
                <w:rFonts w:ascii="Times New Roman" w:eastAsia="Calibri" w:hAnsi="Times New Roman" w:cs="Times New Roman"/>
                <w:color w:val="000000"/>
                <w:sz w:val="20"/>
                <w:szCs w:val="20"/>
                <w:lang w:eastAsia="hu-HU"/>
              </w:rPr>
              <w:t>, pl. multinacionális vállalkozás működése esetén a tantárgy tanulásakor megszerzett ismereteket.</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Attitűd:</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tantárgy elősegíti, hogy a hallgató a társasági jogi és cégjogi tudás birtokában átlássa és elkülönítse a gazdasági szféra alanyainak körét nemcsak Magyarországon, hanem az Európai Unió területén is, a munkája során felmerülő jogi kérdésekben (publicitási követelmény, corporate governance, tőkevédelmi követelmények, IFRS, konszernjog) magabiztosan és megfelelően állást tudjon foglalni, értelmezni és értékelni tudja a felmerülő jogintézményeket, a jogi ismereteit folyamatosan gyarapítsa.</w:t>
            </w:r>
          </w:p>
          <w:p w:rsidR="00D35406" w:rsidRPr="00D35406" w:rsidRDefault="00D35406" w:rsidP="00D35406">
            <w:pPr>
              <w:spacing w:after="0" w:line="240" w:lineRule="auto"/>
              <w:ind w:left="402"/>
              <w:jc w:val="both"/>
              <w:rPr>
                <w:rFonts w:ascii="Times New Roman" w:eastAsia="Calibri" w:hAnsi="Times New Roman" w:cs="Times New Roman"/>
                <w:i/>
                <w:sz w:val="20"/>
                <w:szCs w:val="20"/>
                <w:lang w:eastAsia="hu-HU"/>
              </w:rPr>
            </w:pPr>
            <w:r w:rsidRPr="00D35406">
              <w:rPr>
                <w:rFonts w:ascii="Times New Roman" w:eastAsia="Calibri" w:hAnsi="Times New Roman" w:cs="Times New Roman"/>
                <w:i/>
                <w:sz w:val="20"/>
                <w:szCs w:val="20"/>
                <w:lang w:eastAsia="hu-HU"/>
              </w:rPr>
              <w:t>Autonómia és felelősség:</w:t>
            </w:r>
          </w:p>
          <w:p w:rsidR="00D35406" w:rsidRPr="00D35406" w:rsidRDefault="00D35406" w:rsidP="00D3540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 kurzus hozzásegíti a hallgatót ahhoz, hogy a gazdasági szféra jogintézményei körében az általános információkhoz képest egy magasabb szakmai szinten, a magyar szabályozás mellett az EU-s követelményeket is ismerve megalapozottan és felelősséggel formáljon véleményt</w:t>
            </w:r>
            <w:r w:rsidRPr="00D35406">
              <w:rPr>
                <w:rFonts w:ascii="Times New Roman" w:eastAsia="Calibri" w:hAnsi="Times New Roman" w:cs="Times New Roman"/>
                <w:color w:val="FF0000"/>
                <w:sz w:val="20"/>
                <w:szCs w:val="20"/>
                <w:lang w:eastAsia="hu-HU"/>
              </w:rPr>
              <w:t xml:space="preserve"> </w:t>
            </w:r>
            <w:r w:rsidRPr="00D35406">
              <w:rPr>
                <w:rFonts w:ascii="Times New Roman" w:eastAsia="Calibri" w:hAnsi="Times New Roman" w:cs="Times New Roman"/>
                <w:sz w:val="20"/>
                <w:szCs w:val="20"/>
                <w:lang w:eastAsia="hu-HU"/>
              </w:rPr>
              <w:t>a vállalkozási formákat érintő kérdésekben.</w:t>
            </w:r>
          </w:p>
          <w:p w:rsidR="00D35406" w:rsidRPr="00D35406" w:rsidRDefault="00D35406" w:rsidP="00D35406">
            <w:pPr>
              <w:spacing w:after="0" w:line="240" w:lineRule="auto"/>
              <w:ind w:left="720"/>
              <w:rPr>
                <w:rFonts w:ascii="Times New Roman" w:eastAsia="Arial Unicode MS" w:hAnsi="Times New Roman" w:cs="Times New Roman"/>
                <w:b/>
                <w:bCs/>
                <w:sz w:val="20"/>
                <w:szCs w:val="20"/>
                <w:lang w:eastAsia="hu-HU"/>
              </w:rPr>
            </w:pPr>
          </w:p>
        </w:tc>
      </w:tr>
      <w:tr w:rsidR="00D35406" w:rsidRPr="00D35406" w:rsidTr="00D3540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 kurzus rövid tartalma, témakörei</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p>
          <w:p w:rsidR="00D35406" w:rsidRPr="00D35406" w:rsidRDefault="00D35406" w:rsidP="00DC0886">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Az Európai Unió jogforrási rendszere. A társaságalapítás négyes szabadsága a Római szerződés alapján. A társasági jogi jogharmonizáció alapjai. Az EU társasági jogi jogalkotása. XXI. századi társasági jogi szabályozási tendenciák az EU-ban.</w:t>
            </w:r>
            <w:r w:rsidRPr="00D35406">
              <w:rPr>
                <w:rFonts w:ascii="Garamond" w:eastAsia="Times New Roman" w:hAnsi="Garamond" w:cs="Times New Roman"/>
                <w:sz w:val="24"/>
                <w:szCs w:val="24"/>
                <w:lang w:eastAsia="hu-HU"/>
              </w:rPr>
              <w:t xml:space="preserve"> </w:t>
            </w:r>
            <w:r w:rsidRPr="00D35406">
              <w:rPr>
                <w:rFonts w:ascii="Times New Roman" w:eastAsia="Calibri" w:hAnsi="Times New Roman" w:cs="Times New Roman"/>
                <w:sz w:val="20"/>
                <w:szCs w:val="20"/>
                <w:lang w:eastAsia="hu-HU"/>
              </w:rPr>
              <w:t>Cégformák Magyarországon. A társasági jogi alapelvek és a társaságalapítás anyagi jogi és eljárásjogi specifikumai. A társaságalapításhoz kapcsolódó irányelvek (1. és 2. irányelv). A gazdasági társaságok szervezeti felépítése. A vezető tisztségviselők jogállása (német dualista és az angolszász board-rendszer) és felelőssége, a wrongfuhl trading alkalmazása. A személyegyesítő társasági formák. A korlátolt felelősségű társaság és a részvénytársaság jellemzői, a részvény értékpapírjogi sajátosságai. Szupranacionális társasági formák: európai gazdasági egyesülés (ege), európai rt. (SE), az európai szövetkezet (SCE). A jogi személyek megszűnése jogutódlással és jogutód nélkül. A végelszámolási eljárás. A csőd- és felszámolási eljárás sajátossága.</w:t>
            </w:r>
          </w:p>
        </w:tc>
      </w:tr>
      <w:tr w:rsidR="00D35406" w:rsidRPr="00D35406" w:rsidTr="00DC0886">
        <w:trPr>
          <w:trHeight w:val="699"/>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lastRenderedPageBreak/>
              <w:t>Tervezett tanulási tevékenységek, tanítási módszerek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előadás, igény szerint konzultáció, szemináriumon a joggyakorlat megismerése jogesetek feldolgozásán keresztül</w:t>
            </w: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Értékelés</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Írásbeli kollokvium, amelynek értékelése ötfokozatú.</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2-es (elégséges) érdemjegy a vizsgán: a maximálisan elérhető pontok 50 %-ától.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Kötelező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Fézer-Károlyi-Petkó-Törő (2014): </w:t>
            </w:r>
            <w:r w:rsidRPr="00D35406">
              <w:rPr>
                <w:rFonts w:ascii="Times New Roman" w:eastAsia="Calibri" w:hAnsi="Times New Roman" w:cs="Times New Roman"/>
                <w:i/>
                <w:sz w:val="20"/>
                <w:szCs w:val="20"/>
                <w:lang w:eastAsia="hu-HU"/>
              </w:rPr>
              <w:t>Jogi személyek a gazdasági forgalomban</w:t>
            </w:r>
            <w:r w:rsidRPr="00D35406">
              <w:rPr>
                <w:rFonts w:ascii="Times New Roman" w:eastAsia="Calibri" w:hAnsi="Times New Roman" w:cs="Times New Roman"/>
                <w:sz w:val="20"/>
                <w:szCs w:val="20"/>
                <w:lang w:eastAsia="hu-HU"/>
              </w:rPr>
              <w:t xml:space="preserve">. Debrecen, Kapitális Kft. </w:t>
            </w:r>
          </w:p>
          <w:p w:rsidR="00D35406" w:rsidRPr="00D35406" w:rsidRDefault="00D35406" w:rsidP="00D35406">
            <w:pPr>
              <w:spacing w:after="0" w:line="240" w:lineRule="auto"/>
              <w:rPr>
                <w:rFonts w:ascii="Times New Roman" w:eastAsia="Calibri" w:hAnsi="Times New Roman" w:cs="Times New Roman"/>
                <w:b/>
                <w:bCs/>
                <w:sz w:val="20"/>
                <w:szCs w:val="20"/>
                <w:lang w:eastAsia="hu-HU"/>
              </w:rPr>
            </w:pPr>
          </w:p>
          <w:p w:rsidR="00D35406" w:rsidRPr="00D35406" w:rsidRDefault="00D35406" w:rsidP="00D35406">
            <w:pPr>
              <w:spacing w:after="0" w:line="240" w:lineRule="auto"/>
              <w:rPr>
                <w:rFonts w:ascii="Times New Roman" w:eastAsia="Calibri" w:hAnsi="Times New Roman" w:cs="Times New Roman"/>
                <w:b/>
                <w:bCs/>
                <w:sz w:val="20"/>
                <w:szCs w:val="20"/>
                <w:lang w:eastAsia="hu-HU"/>
              </w:rPr>
            </w:pPr>
            <w:r w:rsidRPr="00D35406">
              <w:rPr>
                <w:rFonts w:ascii="Times New Roman" w:eastAsia="Calibri" w:hAnsi="Times New Roman" w:cs="Times New Roman"/>
                <w:b/>
                <w:bCs/>
                <w:sz w:val="20"/>
                <w:szCs w:val="20"/>
                <w:lang w:eastAsia="hu-HU"/>
              </w:rPr>
              <w:t>Ajánlott szakirodalom:</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2137/85/EGK rendelet az európai gazdasági egyesülésről</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2157/2001/EK rendelet az európai részvénytársaságról</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1435/2003/EK rendelet az európai szövetkezetről</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 sz. publicitási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2. sz. tőkevédelmi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3. sz. konfúziós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7. és 8. könyvviteli irányelvek</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6. sz. szétválási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10. sz. irányelv a tőkeegyesítő társaságok határokon átnyúló egyesüléséről </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11. sz. fióktelepre vonatkozó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12. sz. egyszemélyes kft-re vonatkozó irányelv</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Struktúra-irányelv tervezet</w:t>
            </w:r>
          </w:p>
          <w:p w:rsidR="00D35406" w:rsidRPr="00D35406" w:rsidRDefault="00D35406" w:rsidP="00D35406">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Székhelyáthelyezési irányelvtervezet</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35406" w:rsidRPr="00D35406" w:rsidTr="00D35406">
        <w:tc>
          <w:tcPr>
            <w:tcW w:w="9250" w:type="dxa"/>
            <w:gridSpan w:val="2"/>
            <w:shd w:val="clear" w:color="auto" w:fill="auto"/>
          </w:tcPr>
          <w:p w:rsidR="00D35406" w:rsidRPr="00D35406" w:rsidRDefault="00D35406" w:rsidP="00D35406">
            <w:pPr>
              <w:spacing w:after="0" w:line="240" w:lineRule="auto"/>
              <w:jc w:val="center"/>
              <w:rPr>
                <w:rFonts w:ascii="Times New Roman" w:eastAsia="Calibri" w:hAnsi="Times New Roman" w:cs="Times New Roman"/>
                <w:sz w:val="28"/>
                <w:szCs w:val="28"/>
                <w:lang w:eastAsia="hu-HU"/>
              </w:rPr>
            </w:pPr>
            <w:r w:rsidRPr="00D35406">
              <w:rPr>
                <w:rFonts w:ascii="Times New Roman" w:eastAsia="Calibri" w:hAnsi="Times New Roman" w:cs="Times New Roman"/>
                <w:sz w:val="28"/>
                <w:szCs w:val="28"/>
                <w:lang w:eastAsia="hu-HU"/>
              </w:rPr>
              <w:t>Heti bontott tematika</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bCs/>
                <w:sz w:val="20"/>
                <w:szCs w:val="20"/>
                <w:lang w:eastAsia="hu-HU"/>
              </w:rPr>
            </w:pPr>
            <w:r w:rsidRPr="00D35406">
              <w:rPr>
                <w:rFonts w:ascii="Times New Roman" w:eastAsia="Calibri" w:hAnsi="Times New Roman" w:cs="Times New Roman"/>
                <w:b/>
                <w:bCs/>
                <w:sz w:val="20"/>
                <w:szCs w:val="20"/>
                <w:lang w:eastAsia="hu-HU"/>
              </w:rPr>
              <w:t xml:space="preserve">Az Európai Unió jogforrási rendszere: </w:t>
            </w:r>
            <w:r w:rsidRPr="00D35406">
              <w:rPr>
                <w:rFonts w:ascii="Times New Roman" w:eastAsia="Calibri" w:hAnsi="Times New Roman" w:cs="Times New Roman"/>
                <w:bCs/>
                <w:sz w:val="20"/>
                <w:szCs w:val="20"/>
                <w:lang w:eastAsia="hu-HU"/>
              </w:rPr>
              <w:t xml:space="preserve">az elsődleges és másodlagos jogforrások formái és szabályozási metódusuk.  </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6"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az EU-s jogrendszer alapvető felépítését, a jogforrások típusait, az EU-s szervek jogalkotási folyamatát és az Unió Bíróságának eljárását. </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Az EU társasági jogi jogalkotása: </w:t>
            </w:r>
            <w:r w:rsidRPr="00D35406">
              <w:rPr>
                <w:rFonts w:ascii="Times New Roman" w:eastAsia="Calibri" w:hAnsi="Times New Roman" w:cs="Times New Roman"/>
                <w:bCs/>
                <w:sz w:val="20"/>
                <w:szCs w:val="20"/>
                <w:lang w:eastAsia="hu-HU"/>
              </w:rPr>
              <w:t>a társaságalapítás négyes szabadsága (jogesetekkel), a társasági jogegységesítés és jogharmonizáció eszközei és szabályozási területük.</w:t>
            </w:r>
            <w:r w:rsidRPr="00D35406">
              <w:rPr>
                <w:rFonts w:ascii="Times New Roman" w:eastAsia="Calibri" w:hAnsi="Times New Roman" w:cs="Times New Roman"/>
                <w:b/>
                <w:bCs/>
                <w:sz w:val="20"/>
                <w:szCs w:val="20"/>
                <w:lang w:eastAsia="hu-HU"/>
              </w:rPr>
              <w:t xml:space="preserve"> </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7"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társaságok tekintetében a letelepedés szabadságának elvét, az EK rendeletek és irányelvek szabályozási mechanizmusát.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
                <w:bCs/>
                <w:sz w:val="20"/>
                <w:szCs w:val="20"/>
                <w:lang w:eastAsia="hu-HU"/>
              </w:rPr>
              <w:t xml:space="preserve">XXI. századi társasági jogi szabályozási tendenciák az EU-ban: </w:t>
            </w:r>
            <w:r w:rsidRPr="00D35406">
              <w:rPr>
                <w:rFonts w:ascii="Times New Roman" w:eastAsia="Calibri" w:hAnsi="Times New Roman" w:cs="Times New Roman"/>
                <w:bCs/>
                <w:sz w:val="20"/>
                <w:szCs w:val="20"/>
                <w:lang w:eastAsia="hu-HU"/>
              </w:rPr>
              <w:t>a cselekvési tervekben meghatározott jövőbeli követelmények, illetve ezek hatása a magyar társasági jogalkotásra.</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8"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a XXI. századi társasági jogi trendeket, </w:t>
            </w:r>
            <w:proofErr w:type="gramStart"/>
            <w:r w:rsidRPr="00D35406">
              <w:rPr>
                <w:rFonts w:ascii="Times New Roman" w:eastAsia="Calibri" w:hAnsi="Times New Roman" w:cs="Times New Roman"/>
                <w:sz w:val="20"/>
                <w:szCs w:val="20"/>
                <w:lang w:eastAsia="hu-HU"/>
              </w:rPr>
              <w:t>úgy</w:t>
            </w:r>
            <w:proofErr w:type="gramEnd"/>
            <w:r w:rsidRPr="00D35406">
              <w:rPr>
                <w:rFonts w:ascii="Times New Roman" w:eastAsia="Calibri" w:hAnsi="Times New Roman" w:cs="Times New Roman"/>
                <w:sz w:val="20"/>
                <w:szCs w:val="20"/>
                <w:lang w:eastAsia="hu-HU"/>
              </w:rPr>
              <w:t xml:space="preserve"> mint a hitelezővédelem erősítése, a társaságalapítás könnyítése, az átlátható, ellenőrizhető működés (corporate governance követelménye), a vezető tisztségviselők díjazásának nyilvánossága, a részvényesek információs jogának a bővítése. </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 xml:space="preserve">A társasági jogi alapelvek: </w:t>
            </w:r>
            <w:r w:rsidRPr="00D35406">
              <w:rPr>
                <w:rFonts w:ascii="Times New Roman" w:eastAsia="Calibri" w:hAnsi="Times New Roman" w:cs="Times New Roman"/>
                <w:sz w:val="20"/>
                <w:szCs w:val="20"/>
                <w:lang w:eastAsia="hu-HU"/>
              </w:rPr>
              <w:t>a társaságalapítás anyagi jogi és eljárásjogi specifikumai</w:t>
            </w:r>
            <w:r w:rsidRPr="00D35406">
              <w:rPr>
                <w:rFonts w:ascii="Times New Roman" w:eastAsia="Calibri" w:hAnsi="Times New Roman" w:cs="Times New Roman"/>
                <w:b/>
                <w:sz w:val="20"/>
                <w:szCs w:val="20"/>
                <w:lang w:eastAsia="hu-HU"/>
              </w:rPr>
              <w:t>.</w:t>
            </w:r>
            <w:r w:rsidRPr="00D35406">
              <w:rPr>
                <w:rFonts w:ascii="Times New Roman" w:eastAsia="Calibri" w:hAnsi="Times New Roman" w:cs="Times New Roman"/>
                <w:sz w:val="20"/>
                <w:szCs w:val="20"/>
                <w:lang w:eastAsia="hu-HU"/>
              </w:rPr>
              <w:t xml:space="preserve"> A társaságalapításhoz kapcsolódó irányelvek (1. és 2. irányelv), publicitási követelmények. A cégbejegyzési eljárás folyamata. Az előtársaság időszaka.</w:t>
            </w:r>
            <w:r w:rsidR="00780616">
              <w:rPr>
                <w:rFonts w:ascii="Times New Roman" w:eastAsia="Calibri" w:hAnsi="Times New Roman" w:cs="Times New Roman"/>
                <w:sz w:val="20"/>
                <w:szCs w:val="20"/>
                <w:lang w:eastAsia="hu-HU"/>
              </w:rPr>
              <w:pict>
                <v:rect id="_x0000_i1039"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magyarországi cégformák típusait, az alapítás magyar és EU-s követelményeit, a közreműködő személyeket, hatóságokat.</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 xml:space="preserve">A gazdasági társaságok szervezeti felépítése: </w:t>
            </w:r>
            <w:r w:rsidRPr="00D35406">
              <w:rPr>
                <w:rFonts w:ascii="Times New Roman" w:eastAsia="Calibri" w:hAnsi="Times New Roman" w:cs="Times New Roman"/>
                <w:sz w:val="20"/>
                <w:szCs w:val="20"/>
                <w:lang w:eastAsia="hu-HU"/>
              </w:rPr>
              <w:t>a kötelező és az opcionális szervek típusai, hatáskörük és működési szabályaik. A legfőbb szerv, a felügyelőbizottság, a könyvvizsgáló, az audit bizottság szerepe.</w:t>
            </w:r>
            <w:r w:rsidR="00780616">
              <w:rPr>
                <w:rFonts w:ascii="Times New Roman" w:eastAsia="Calibri" w:hAnsi="Times New Roman" w:cs="Times New Roman"/>
                <w:sz w:val="20"/>
                <w:szCs w:val="20"/>
                <w:lang w:eastAsia="hu-HU"/>
              </w:rPr>
              <w:pict>
                <v:rect id="_x0000_i1040"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Alapos ismereteket sajátít el a gazdasági társaságok tulajdonosi testülete (legfőbb szerv), illetve az ellenőrző szervek funkciója és hatásköre tekintetében.</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A gazdasági társaságok vezetési struktúrái</w:t>
            </w:r>
            <w:r w:rsidRPr="00D35406">
              <w:rPr>
                <w:rFonts w:ascii="Times New Roman" w:eastAsia="Calibri" w:hAnsi="Times New Roman" w:cs="Times New Roman"/>
                <w:b/>
                <w:bCs/>
                <w:sz w:val="20"/>
                <w:szCs w:val="20"/>
                <w:lang w:eastAsia="hu-HU"/>
              </w:rPr>
              <w:t xml:space="preserve">: </w:t>
            </w:r>
            <w:r w:rsidRPr="00D35406">
              <w:rPr>
                <w:rFonts w:ascii="Times New Roman" w:eastAsia="Calibri" w:hAnsi="Times New Roman" w:cs="Times New Roman"/>
                <w:bCs/>
                <w:sz w:val="20"/>
                <w:szCs w:val="20"/>
                <w:lang w:eastAsia="hu-HU"/>
              </w:rPr>
              <w:t xml:space="preserve">A vezető tisztségviselő jogállása, feladata, felelőssége. Az egyszemélyi és a testületi vezetés formái. A német dualista és az angolszász </w:t>
            </w:r>
            <w:r w:rsidRPr="00D35406">
              <w:rPr>
                <w:rFonts w:ascii="Times New Roman" w:eastAsia="Calibri" w:hAnsi="Times New Roman" w:cs="Times New Roman"/>
                <w:bCs/>
                <w:sz w:val="20"/>
                <w:szCs w:val="20"/>
                <w:lang w:eastAsia="hu-HU"/>
              </w:rPr>
              <w:lastRenderedPageBreak/>
              <w:t>board rendszer jellemzői.</w:t>
            </w:r>
            <w:r w:rsidR="00780616">
              <w:rPr>
                <w:rFonts w:ascii="Times New Roman" w:eastAsia="Calibri" w:hAnsi="Times New Roman" w:cs="Times New Roman"/>
                <w:sz w:val="20"/>
                <w:szCs w:val="20"/>
                <w:lang w:eastAsia="hu-HU"/>
              </w:rPr>
              <w:pict>
                <v:rect id="_x0000_i1041"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Részletes ismeretekkel bír a társaságoknál az operatív irányítást végző menedzserek feladatai, jogai és kötelezettségei vonatkozásában, ismeri a társasággal szembeni és a hitelezők felé fennálló felelősségének feltételeit.</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lastRenderedPageBreak/>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Személyegyesítő társasági formák:</w:t>
            </w:r>
            <w:r w:rsidRPr="00D35406">
              <w:rPr>
                <w:rFonts w:ascii="Times New Roman" w:eastAsia="Calibri" w:hAnsi="Times New Roman" w:cs="Times New Roman"/>
                <w:sz w:val="20"/>
                <w:szCs w:val="20"/>
                <w:lang w:eastAsia="hu-HU"/>
              </w:rPr>
              <w:t xml:space="preserve"> A kkt. és a bt. alapításának alanyi és vagyoni feltételei. A tagok személye és felelőssége. A kkt. és bt. szervezeti felépítésének specifikumai. A tagsági viszony megszüntetésének formái.</w:t>
            </w:r>
            <w:r w:rsidR="00780616">
              <w:rPr>
                <w:rFonts w:ascii="Times New Roman" w:eastAsia="Calibri" w:hAnsi="Times New Roman" w:cs="Times New Roman"/>
                <w:sz w:val="20"/>
                <w:szCs w:val="20"/>
                <w:lang w:eastAsia="hu-HU"/>
              </w:rPr>
              <w:pict>
                <v:rect id="_x0000_i1042"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vizsgált két társasági forma választásának legfontosabb ismérveit, el tudja határolni más vállalkozási formáktól.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bCs/>
                <w:sz w:val="20"/>
                <w:szCs w:val="20"/>
                <w:lang w:eastAsia="hu-HU"/>
              </w:rPr>
            </w:pPr>
            <w:r w:rsidRPr="00D35406">
              <w:rPr>
                <w:rFonts w:ascii="Times New Roman" w:eastAsia="Calibri" w:hAnsi="Times New Roman" w:cs="Times New Roman"/>
                <w:b/>
                <w:sz w:val="20"/>
                <w:szCs w:val="20"/>
                <w:lang w:eastAsia="hu-HU"/>
              </w:rPr>
              <w:t>A korlátolt felelősségű társaság:</w:t>
            </w:r>
            <w:r w:rsidRPr="00D35406">
              <w:rPr>
                <w:rFonts w:ascii="Times New Roman" w:eastAsia="Calibri" w:hAnsi="Times New Roman" w:cs="Times New Roman"/>
                <w:sz w:val="20"/>
                <w:szCs w:val="20"/>
                <w:lang w:eastAsia="hu-HU"/>
              </w:rPr>
              <w:t xml:space="preserve"> </w:t>
            </w:r>
            <w:r w:rsidRPr="00D35406">
              <w:rPr>
                <w:rFonts w:ascii="Times New Roman" w:eastAsia="Calibri" w:hAnsi="Times New Roman" w:cs="Times New Roman"/>
                <w:bCs/>
                <w:sz w:val="20"/>
                <w:szCs w:val="20"/>
                <w:lang w:eastAsia="hu-HU"/>
              </w:rPr>
              <w:t>A kft. alapításának alanyi és tárgyi feltételei, törzstőke, törzsbetét, üzletrész fogalmi sajátosságai. Tagok köre, felelőssége, jogállása. Mellékszolgáltatás és pótbefizetés jellemzői. Taggyűlés és ügyvezető működési sajátosságai. (2. sz. tőkevédelmi és a12. sz. egyszemélyes kft-re vonatkozó irányelv)</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3"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kft. népszerűségében rejlő előnyöket, tisztában van az alapítási és a működési sajátosságok rugalmas kialakíthatóságával.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bCs/>
                <w:sz w:val="20"/>
                <w:szCs w:val="20"/>
                <w:lang w:eastAsia="hu-HU"/>
              </w:rPr>
            </w:pPr>
            <w:r w:rsidRPr="00D35406">
              <w:rPr>
                <w:rFonts w:ascii="Times New Roman" w:eastAsia="Calibri" w:hAnsi="Times New Roman" w:cs="Times New Roman"/>
                <w:sz w:val="20"/>
                <w:szCs w:val="20"/>
                <w:lang w:eastAsia="hu-HU"/>
              </w:rPr>
              <w:t>A</w:t>
            </w:r>
            <w:r w:rsidRPr="00D35406">
              <w:rPr>
                <w:rFonts w:ascii="Times New Roman" w:eastAsia="Calibri" w:hAnsi="Times New Roman" w:cs="Times New Roman"/>
                <w:b/>
                <w:sz w:val="20"/>
                <w:szCs w:val="20"/>
                <w:lang w:eastAsia="hu-HU"/>
              </w:rPr>
              <w:t xml:space="preserve"> részvénytársaság jellemzői, a részvény:</w:t>
            </w:r>
            <w:r w:rsidRPr="00D35406">
              <w:rPr>
                <w:rFonts w:ascii="Times New Roman" w:eastAsia="Calibri" w:hAnsi="Times New Roman" w:cs="Times New Roman"/>
                <w:bCs/>
                <w:sz w:val="20"/>
                <w:szCs w:val="20"/>
                <w:lang w:eastAsia="hu-HU"/>
              </w:rPr>
              <w:t xml:space="preserve"> A zrt. és az nyrt. elhatárolása, szilárd alaptőke elve, részvényes személye és felelőssége. A részvény fogalma, részvényfajták. Monista és dualista irányítás. Corporate governance követelménye. Struktúra-irányelv tervezet</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4"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az rt. működési sajátosságait, alapításának előnyeit és hátrányait, tisztában van a részvény értékpapírjogi sajátosságaival.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 xml:space="preserve">Szupranacionális társasági formák: Európai Gazdasági Egyesülés. </w:t>
            </w:r>
            <w:r w:rsidRPr="00D35406">
              <w:rPr>
                <w:rFonts w:ascii="Times New Roman" w:eastAsia="Calibri" w:hAnsi="Times New Roman" w:cs="Times New Roman"/>
                <w:sz w:val="20"/>
                <w:szCs w:val="20"/>
                <w:lang w:eastAsia="hu-HU"/>
              </w:rPr>
              <w:t>Az ege nonprofit kooperációs jellege. Az alapítók köre és felelőssége, az ege működési szabályai.</w:t>
            </w:r>
            <w:r w:rsidR="00780616">
              <w:rPr>
                <w:rFonts w:ascii="Times New Roman" w:eastAsia="Calibri" w:hAnsi="Times New Roman" w:cs="Times New Roman"/>
                <w:sz w:val="20"/>
                <w:szCs w:val="20"/>
                <w:lang w:eastAsia="hu-HU"/>
              </w:rPr>
              <w:pict>
                <v:rect id="_x0000_i1045"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w:t>
            </w:r>
            <w:r w:rsidRPr="00D35406">
              <w:rPr>
                <w:rFonts w:ascii="Times New Roman" w:eastAsia="Calibri" w:hAnsi="Times New Roman" w:cs="Times New Roman"/>
                <w:bCs/>
                <w:sz w:val="20"/>
                <w:szCs w:val="20"/>
                <w:lang w:eastAsia="hu-HU"/>
              </w:rPr>
              <w:t>z EK jog által létrehozható ege jellemzőit, el tudja különíteni a profitorientált vállalkozások alanyaitól.</w:t>
            </w:r>
          </w:p>
          <w:p w:rsidR="00D35406" w:rsidRPr="00D35406" w:rsidRDefault="00D35406" w:rsidP="00D35406">
            <w:pPr>
              <w:spacing w:after="0" w:line="240" w:lineRule="auto"/>
              <w:rPr>
                <w:rFonts w:ascii="Times New Roman" w:eastAsia="Calibri" w:hAnsi="Times New Roman" w:cs="Times New Roman"/>
                <w:sz w:val="20"/>
                <w:szCs w:val="20"/>
                <w:lang w:eastAsia="hu-HU"/>
              </w:rPr>
            </w:pP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Szupranacionális társasági formák: Európai Részvénytársaság (SE):</w:t>
            </w:r>
            <w:r w:rsidRPr="00D35406">
              <w:rPr>
                <w:rFonts w:ascii="Times New Roman" w:eastAsia="Calibri" w:hAnsi="Times New Roman" w:cs="Times New Roman"/>
                <w:sz w:val="20"/>
                <w:szCs w:val="20"/>
                <w:lang w:eastAsia="hu-HU"/>
              </w:rPr>
              <w:t xml:space="preserve"> A multinacionális konszern szerepe, tevékenysége, alapítási módjai. A munkavállalói participációs jogok biztosítása a különleges tárgyaló testület működésén keresztül. Az SE szervezeti felépítése és megszűnése.</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6"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Ismeretekkel bír a legnépszerűbb szupranacionális társaság alapítási és működési tevékenységéről.</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b/>
                <w:sz w:val="20"/>
                <w:szCs w:val="20"/>
                <w:lang w:eastAsia="hu-HU"/>
              </w:rPr>
            </w:pPr>
            <w:r w:rsidRPr="00D35406">
              <w:rPr>
                <w:rFonts w:ascii="Times New Roman" w:eastAsia="Calibri" w:hAnsi="Times New Roman" w:cs="Times New Roman"/>
                <w:b/>
                <w:sz w:val="20"/>
                <w:szCs w:val="20"/>
                <w:lang w:eastAsia="hu-HU"/>
              </w:rPr>
              <w:t xml:space="preserve">Szupranacionális társasági formák: Európai Szövetkezet </w:t>
            </w:r>
          </w:p>
          <w:p w:rsidR="00D35406" w:rsidRPr="00D35406" w:rsidRDefault="00D35406" w:rsidP="00D35406">
            <w:pPr>
              <w:spacing w:after="0" w:line="240" w:lineRule="auto"/>
              <w:jc w:val="both"/>
              <w:rPr>
                <w:rFonts w:ascii="Times New Roman" w:eastAsia="Calibri" w:hAnsi="Times New Roman" w:cs="Times New Roman"/>
                <w:sz w:val="20"/>
                <w:szCs w:val="20"/>
                <w:lang w:eastAsia="hu-HU"/>
              </w:rPr>
            </w:pPr>
            <w:r w:rsidRPr="00D35406">
              <w:rPr>
                <w:rFonts w:ascii="Times New Roman" w:eastAsia="Calibri" w:hAnsi="Times New Roman" w:cs="Times New Roman"/>
                <w:bCs/>
                <w:sz w:val="20"/>
                <w:szCs w:val="20"/>
                <w:lang w:eastAsia="hu-HU"/>
              </w:rPr>
              <w:t xml:space="preserve">Az Európai Szövetkezet célja, alapítása és működése, hasonlóságok és eltérések a magyar szövetkezet működéséhez viszonyítva. </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7"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 xml:space="preserve">TE: Ismeri a magyar és az EU-s szövetkezeti jog főbb szabályait, vállalkozási formáit és azok jellemzőit. </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A társaságok megszűnése jogutódlással és jogutód nélkül:</w:t>
            </w:r>
            <w:r w:rsidRPr="00D35406">
              <w:rPr>
                <w:rFonts w:ascii="Times New Roman" w:eastAsia="Calibri" w:hAnsi="Times New Roman" w:cs="Times New Roman"/>
                <w:b/>
                <w:bCs/>
                <w:sz w:val="20"/>
                <w:szCs w:val="20"/>
                <w:lang w:eastAsia="hu-HU"/>
              </w:rPr>
              <w:t xml:space="preserve"> </w:t>
            </w:r>
            <w:r w:rsidRPr="00D35406">
              <w:rPr>
                <w:rFonts w:ascii="Times New Roman" w:eastAsia="Calibri" w:hAnsi="Times New Roman" w:cs="Times New Roman"/>
                <w:sz w:val="20"/>
                <w:szCs w:val="20"/>
                <w:lang w:eastAsia="hu-HU"/>
              </w:rPr>
              <w:t>A gazdasági társaságok jogutódlással való megszűnése, az átalakulás, egyesülés és a szétválás fajtái és folyamata. A jogutód nélküli megszűnési formák, a végelszámolás alapvető sajátosságai.</w:t>
            </w:r>
          </w:p>
          <w:p w:rsidR="00D35406" w:rsidRPr="00D35406" w:rsidRDefault="00780616" w:rsidP="00D35406">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48"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Ismeri a cégek átalakulásának és megszűnésének eseteit, különbséget tud tenni a kiválás és a különválás, a beolvadás és összeolvadás között.</w:t>
            </w:r>
          </w:p>
        </w:tc>
      </w:tr>
      <w:tr w:rsidR="00D35406" w:rsidRPr="00D35406" w:rsidTr="00D35406">
        <w:tc>
          <w:tcPr>
            <w:tcW w:w="1529" w:type="dxa"/>
            <w:shd w:val="clear" w:color="auto" w:fill="auto"/>
          </w:tcPr>
          <w:p w:rsidR="00D35406" w:rsidRPr="00D35406" w:rsidRDefault="00D35406" w:rsidP="00D35406">
            <w:pPr>
              <w:numPr>
                <w:ilvl w:val="0"/>
                <w:numId w:val="18"/>
              </w:num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hét</w:t>
            </w:r>
          </w:p>
        </w:tc>
        <w:tc>
          <w:tcPr>
            <w:tcW w:w="7721" w:type="dxa"/>
            <w:shd w:val="clear" w:color="auto" w:fill="auto"/>
          </w:tcPr>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b/>
                <w:sz w:val="20"/>
                <w:szCs w:val="20"/>
                <w:lang w:eastAsia="hu-HU"/>
              </w:rPr>
              <w:t>A fizetésképtelenségi eljárások:</w:t>
            </w:r>
            <w:r w:rsidRPr="00D35406">
              <w:rPr>
                <w:rFonts w:ascii="Times New Roman" w:eastAsia="Calibri" w:hAnsi="Times New Roman" w:cs="Times New Roman"/>
                <w:sz w:val="20"/>
                <w:szCs w:val="20"/>
                <w:lang w:eastAsia="hu-HU"/>
              </w:rPr>
              <w:t xml:space="preserve"> A csődeljárás célja és szakaszai: a moratórium és a csődegyezség jogi jellege. A felszámolási eljárás és a felszámolás elkülönítése, a hitelezői igények kielégítésének szabályai.</w:t>
            </w:r>
            <w:r w:rsidR="00780616">
              <w:rPr>
                <w:rFonts w:ascii="Times New Roman" w:eastAsia="Calibri" w:hAnsi="Times New Roman" w:cs="Times New Roman"/>
                <w:sz w:val="20"/>
                <w:szCs w:val="20"/>
                <w:lang w:eastAsia="hu-HU"/>
              </w:rPr>
              <w:pict>
                <v:rect id="_x0000_i1049" style="width:0;height:1.5pt" o:hralign="center" o:hrstd="t" o:hr="t" fillcolor="#a0a0a0" stroked="f"/>
              </w:pict>
            </w:r>
          </w:p>
          <w:p w:rsidR="00D35406" w:rsidRPr="00D35406" w:rsidRDefault="00D35406" w:rsidP="00D35406">
            <w:pPr>
              <w:spacing w:after="0" w:line="240" w:lineRule="auto"/>
              <w:rPr>
                <w:rFonts w:ascii="Times New Roman" w:eastAsia="Calibri" w:hAnsi="Times New Roman" w:cs="Times New Roman"/>
                <w:sz w:val="20"/>
                <w:szCs w:val="20"/>
                <w:lang w:eastAsia="hu-HU"/>
              </w:rPr>
            </w:pPr>
            <w:r w:rsidRPr="00D35406">
              <w:rPr>
                <w:rFonts w:ascii="Times New Roman" w:eastAsia="Calibri" w:hAnsi="Times New Roman" w:cs="Times New Roman"/>
                <w:sz w:val="20"/>
                <w:szCs w:val="20"/>
                <w:lang w:eastAsia="hu-HU"/>
              </w:rPr>
              <w:t>TE: Alapos ismeretekkel bír a két fizetésképtelenségi eljárás célja és főbb szabályai tekintetében, ismeri az elhatárolási szempontokat és a főbb jogintézményeket.</w:t>
            </w:r>
          </w:p>
        </w:tc>
      </w:tr>
    </w:tbl>
    <w:p w:rsidR="00D35406" w:rsidRPr="00D35406" w:rsidRDefault="00D35406" w:rsidP="00D35406">
      <w:pPr>
        <w:spacing w:after="0" w:line="240" w:lineRule="auto"/>
        <w:rPr>
          <w:rFonts w:ascii="Times New Roman" w:eastAsia="Calibri" w:hAnsi="Times New Roman" w:cs="Times New Roman"/>
          <w:sz w:val="20"/>
          <w:szCs w:val="20"/>
          <w:lang w:eastAsia="hu-HU"/>
        </w:rPr>
      </w:pPr>
    </w:p>
    <w:p w:rsidR="00D35406" w:rsidRDefault="00D35406">
      <w:pPr>
        <w:rPr>
          <w:rFonts w:ascii="Times New Roman" w:hAnsi="Times New Roman" w:cs="Times New Roman"/>
          <w:color w:val="FF0000"/>
          <w:sz w:val="20"/>
          <w:szCs w:val="20"/>
        </w:rPr>
      </w:pPr>
      <w:r>
        <w:rPr>
          <w:rFonts w:ascii="Times New Roman" w:hAnsi="Times New Roman" w:cs="Times New Roman"/>
          <w:color w:val="FF0000"/>
          <w:sz w:val="20"/>
          <w:szCs w:val="20"/>
        </w:rPr>
        <w:br w:type="page"/>
      </w:r>
    </w:p>
    <w:p w:rsidR="0068139F" w:rsidRPr="0068139F" w:rsidRDefault="0068139F" w:rsidP="0068139F">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139F" w:rsidRPr="0068139F" w:rsidTr="00F76266">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A világgazdaság főbb régióinak üzleti gyakorlata</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16"/>
                <w:szCs w:val="16"/>
                <w:lang w:eastAsia="hu-HU"/>
              </w:rPr>
            </w:pPr>
            <w:r w:rsidRPr="0068139F">
              <w:rPr>
                <w:rFonts w:ascii="Times New Roman" w:eastAsia="Calibri" w:hAnsi="Times New Roman" w:cs="Times New Roman"/>
                <w:sz w:val="20"/>
                <w:szCs w:val="20"/>
                <w:lang w:eastAsia="hu-HU"/>
              </w:rPr>
              <w:t>Kódja</w:t>
            </w:r>
            <w:r w:rsidRPr="0068139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GT_MNGN501-17</w:t>
            </w:r>
          </w:p>
        </w:tc>
      </w:tr>
      <w:tr w:rsidR="0068139F" w:rsidRPr="0068139F" w:rsidTr="00F762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 xml:space="preserve">Regional Differences of Business Practices </w:t>
            </w: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rPr>
                <w:rFonts w:ascii="Times New Roman" w:eastAsia="Arial Unicode MS" w:hAnsi="Times New Roman" w:cs="Times New Roman"/>
                <w:sz w:val="16"/>
                <w:szCs w:val="16"/>
                <w:lang w:eastAsia="hu-HU"/>
              </w:rPr>
            </w:pPr>
          </w:p>
        </w:tc>
      </w:tr>
      <w:tr w:rsidR="0068139F" w:rsidRPr="0068139F" w:rsidTr="00F7626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b/>
                <w:bCs/>
                <w:sz w:val="24"/>
                <w:szCs w:val="24"/>
                <w:lang w:eastAsia="hu-HU"/>
              </w:rPr>
            </w:pPr>
          </w:p>
        </w:tc>
      </w:tr>
      <w:tr w:rsidR="0068139F" w:rsidRPr="0068139F" w:rsidTr="00F7626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Világgazdasági és Nemzetközi Kapcsolatok Intézet</w:t>
            </w:r>
          </w:p>
        </w:tc>
      </w:tr>
      <w:tr w:rsidR="0068139F" w:rsidRPr="0068139F" w:rsidTr="00F7626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p>
        </w:tc>
      </w:tr>
      <w:tr w:rsidR="0068139F" w:rsidRPr="0068139F" w:rsidTr="00F7626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Oktatás nyelve</w:t>
            </w:r>
          </w:p>
        </w:tc>
      </w:tr>
      <w:tr w:rsidR="0068139F" w:rsidRPr="0068139F" w:rsidTr="00F7626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r>
      <w:tr w:rsidR="0068139F" w:rsidRPr="0068139F" w:rsidTr="00F7626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r w:rsidRPr="0068139F">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r w:rsidRPr="0068139F">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r w:rsidRPr="0068139F">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magyar</w:t>
            </w:r>
          </w:p>
        </w:tc>
      </w:tr>
      <w:tr w:rsidR="0068139F" w:rsidRPr="0068139F" w:rsidTr="00F7626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r>
      <w:tr w:rsidR="0068139F" w:rsidRPr="0068139F" w:rsidTr="00F76266">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8"/>
                <w:szCs w:val="18"/>
                <w:lang w:eastAsia="hu-HU"/>
              </w:rPr>
            </w:pPr>
            <w:r w:rsidRPr="0068139F">
              <w:rPr>
                <w:rFonts w:ascii="Times New Roman" w:eastAsia="Calibri" w:hAnsi="Times New Roman" w:cs="Times New Roman"/>
                <w:b/>
                <w:sz w:val="18"/>
                <w:szCs w:val="18"/>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adjunktus</w:t>
            </w:r>
          </w:p>
        </w:tc>
      </w:tr>
      <w:tr w:rsidR="0068139F" w:rsidRPr="0068139F" w:rsidTr="00F7626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b/>
                <w:bCs/>
                <w:sz w:val="20"/>
                <w:szCs w:val="20"/>
                <w:lang w:eastAsia="hu-HU"/>
              </w:rPr>
              <w:t xml:space="preserve">A kurzus célja, </w:t>
            </w:r>
            <w:r w:rsidRPr="0068139F">
              <w:rPr>
                <w:rFonts w:ascii="Times New Roman" w:eastAsia="Calibri" w:hAnsi="Times New Roman" w:cs="Times New Roman"/>
                <w:sz w:val="20"/>
                <w:szCs w:val="20"/>
                <w:lang w:eastAsia="hu-HU"/>
              </w:rPr>
              <w:t>hogy a hallgatók</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kurzus célja megismertetni a hallgatókkal a világgazdaság főbb régióinak társadalmi és gazdasági folyamatait, valamint üzleti gyakorlatát. A témák feldolgozása során kitérünk az üzleti etikettre, a tárgyalási sajátosságokra is. A tárgy jelentős mértékben épül a hallgatók kutatómunkájára és elemzéseire is.</w:t>
            </w:r>
          </w:p>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68139F" w:rsidRPr="0068139F" w:rsidRDefault="0068139F" w:rsidP="0068139F">
            <w:pPr>
              <w:spacing w:after="0" w:line="240" w:lineRule="auto"/>
              <w:jc w:val="both"/>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8139F" w:rsidRPr="0068139F" w:rsidRDefault="0068139F" w:rsidP="0068139F">
            <w:pPr>
              <w:spacing w:after="0" w:line="240" w:lineRule="auto"/>
              <w:jc w:val="both"/>
              <w:rPr>
                <w:rFonts w:ascii="Times New Roman" w:eastAsia="Calibri" w:hAnsi="Times New Roman" w:cs="Times New Roman"/>
                <w:b/>
                <w:bCs/>
                <w:sz w:val="20"/>
                <w:szCs w:val="20"/>
                <w:lang w:eastAsia="hu-HU"/>
              </w:rPr>
            </w:pP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 xml:space="preserve">Tudás: </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és érti a szakterület szerint releváns információgyűjtési, elemzési és probléma megoldási módszereket, ezek alkalmazási feltételeit és korlátait.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Képesség:</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Nemzetközi, multikulturális környezetben is képes hatékony munkavégzésre.</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Attitűd:</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Elkötelezett az általános társadalmi értékek mellett, szociálisan érzékeny mind hazai, mind nemzetközi viszonylatban.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Autonómia és felelősség:</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Kezdeményező a problémák megoldásában, stratégiák kialakításában, csoportok és munkatársak együttműködésében szervezeten belül és szervezetek között egyaránt.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68139F" w:rsidRPr="0068139F" w:rsidRDefault="0068139F" w:rsidP="0068139F">
            <w:pPr>
              <w:spacing w:after="0" w:line="240" w:lineRule="auto"/>
              <w:ind w:left="720"/>
              <w:rPr>
                <w:rFonts w:ascii="Times New Roman" w:eastAsia="Arial Unicode MS" w:hAnsi="Times New Roman" w:cs="Times New Roman"/>
                <w:b/>
                <w:bCs/>
                <w:sz w:val="20"/>
                <w:szCs w:val="20"/>
                <w:lang w:eastAsia="hu-HU"/>
              </w:rPr>
            </w:pPr>
          </w:p>
        </w:tc>
      </w:tr>
      <w:tr w:rsidR="0068139F" w:rsidRPr="0068139F" w:rsidTr="00F7626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A kurzus rövid tartalma, témakörei</w:t>
            </w:r>
          </w:p>
          <w:p w:rsidR="0068139F" w:rsidRPr="0068139F" w:rsidRDefault="0068139F" w:rsidP="0068139F">
            <w:pPr>
              <w:spacing w:after="0" w:line="240" w:lineRule="auto"/>
              <w:jc w:val="both"/>
              <w:rPr>
                <w:rFonts w:ascii="Times New Roman" w:eastAsia="Calibri" w:hAnsi="Times New Roman" w:cs="Times New Roman"/>
                <w:sz w:val="20"/>
                <w:szCs w:val="20"/>
                <w:lang w:eastAsia="hu-HU"/>
              </w:rPr>
            </w:pP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Nemzetközi üzleti környezet; Üzleti kultúrák: Magyarország, Európai Unió (alapító tagországok); Skandináv országok; néhány poszt szocialista ország és Oroszország; a Balkáni térség; Távol-Kelet (Kína, Japán, Dél-Korea); USA és az arab világ.</w:t>
            </w:r>
          </w:p>
          <w:p w:rsidR="0068139F" w:rsidRPr="0068139F" w:rsidRDefault="0068139F" w:rsidP="0068139F">
            <w:pPr>
              <w:spacing w:after="0" w:line="240" w:lineRule="auto"/>
              <w:ind w:right="138"/>
              <w:jc w:val="both"/>
              <w:rPr>
                <w:rFonts w:ascii="Times New Roman" w:eastAsia="Calibri" w:hAnsi="Times New Roman" w:cs="Times New Roman"/>
                <w:sz w:val="20"/>
                <w:szCs w:val="20"/>
                <w:lang w:eastAsia="hu-HU"/>
              </w:rPr>
            </w:pPr>
          </w:p>
        </w:tc>
      </w:tr>
      <w:tr w:rsidR="0068139F" w:rsidRPr="0068139F" w:rsidTr="00F76266">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lastRenderedPageBreak/>
              <w:t>Tervezett tanulási tevékenységek, tanítási módszerek</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Gyakorlati jellegű kurzus keretében az oktató irányításával, a hallgatók aktív bevonásával folyik az oktatás. A hallgatók kutatómunkát végeznek a félév során, eredményeikről egy önálló prezentáció keretében beszámolnak. </w:t>
            </w:r>
          </w:p>
        </w:tc>
      </w:tr>
      <w:tr w:rsidR="0068139F" w:rsidRPr="0068139F" w:rsidTr="00F7626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Értékelés</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 a tárgyfelelős oktató által megadott szempontrendszer alapján prezentáció megtartása A prezentációk a félév során kerülnek bemutatásra. A prezentációkkal szembeni tartalmi és formai követelmények az órán kerülnek ismertetésre és elérhetőek az eLearning portálon is.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vizsga dolgozat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a végső értékelés a következő: 50% a prezentáció értékelése + 50% a vizsga dolgozat értékelése</w:t>
            </w:r>
          </w:p>
        </w:tc>
      </w:tr>
      <w:tr w:rsidR="0068139F" w:rsidRPr="0068139F" w:rsidTr="00F7626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hd w:val="clear" w:color="auto" w:fill="E5DFEC"/>
              <w:suppressAutoHyphens/>
              <w:autoSpaceDE w:val="0"/>
              <w:spacing w:before="60" w:after="60" w:line="240" w:lineRule="auto"/>
              <w:ind w:left="720"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Kötelező szakirodalom:</w:t>
            </w:r>
          </w:p>
          <w:p w:rsidR="0068139F" w:rsidRPr="0068139F" w:rsidRDefault="0068139F" w:rsidP="0068139F">
            <w:pPr>
              <w:numPr>
                <w:ilvl w:val="0"/>
                <w:numId w:val="19"/>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előadások diái</w:t>
            </w:r>
          </w:p>
          <w:p w:rsidR="0068139F" w:rsidRPr="0068139F" w:rsidRDefault="00780616"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hyperlink r:id="rId36" w:history="1">
              <w:r w:rsidR="0068139F" w:rsidRPr="0068139F">
                <w:rPr>
                  <w:rFonts w:ascii="Times New Roman" w:eastAsia="Calibri" w:hAnsi="Times New Roman" w:cs="Times New Roman"/>
                  <w:sz w:val="20"/>
                  <w:szCs w:val="20"/>
                  <w:lang w:eastAsia="hu-HU"/>
                </w:rPr>
                <w:t>https://mkik.hu/orszagismertetok</w:t>
              </w:r>
            </w:hyperlink>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Transparency International: http://www.transparency.org/country</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The World Factbook: </w:t>
            </w:r>
            <w:hyperlink r:id="rId37" w:history="1">
              <w:r w:rsidRPr="0068139F">
                <w:rPr>
                  <w:rFonts w:ascii="Times New Roman" w:eastAsia="Calibri" w:hAnsi="Times New Roman" w:cs="Times New Roman"/>
                  <w:sz w:val="20"/>
                  <w:szCs w:val="20"/>
                  <w:lang w:eastAsia="hu-HU"/>
                </w:rPr>
                <w:t>https://www.cia.gov/library/publications/the-world-factbook/</w:t>
              </w:r>
            </w:hyperlink>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Csath Magdolna: Interkulturális menedzsment, Nemzeti Tankönyvkiadó, Budapest, 2008</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Falkné dr. Bánó Klára: Kultúraközi kommunikáció, Püski Kiadó Kft, Budapest, 2001</w:t>
            </w:r>
          </w:p>
          <w:p w:rsidR="0068139F" w:rsidRPr="0068139F" w:rsidRDefault="0068139F" w:rsidP="0068139F">
            <w:pPr>
              <w:numPr>
                <w:ilvl w:val="0"/>
                <w:numId w:val="19"/>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Falkné dr. Bánó Klára: Kultúraközi kommunikáció, Perfekt Kiadó, Budapest, 2008</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Hidasi Judit (szerk.): Kultúrák@kontextusok. kommunikáció. Perfekt Kiadó, 2007 </w:t>
            </w:r>
          </w:p>
          <w:p w:rsidR="0068139F" w:rsidRPr="0068139F" w:rsidRDefault="0068139F" w:rsidP="0068139F">
            <w:pPr>
              <w:numPr>
                <w:ilvl w:val="0"/>
                <w:numId w:val="19"/>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Hidasi Judit: Interkulturális kommunikáció. Scolar Kiadó, 2004</w:t>
            </w:r>
          </w:p>
          <w:p w:rsidR="0068139F" w:rsidRPr="0068139F" w:rsidRDefault="0068139F" w:rsidP="0068139F">
            <w:pPr>
              <w:shd w:val="clear" w:color="auto" w:fill="E5DFEC"/>
              <w:suppressAutoHyphens/>
              <w:autoSpaceDE w:val="0"/>
              <w:spacing w:before="60" w:after="60" w:line="240" w:lineRule="auto"/>
              <w:ind w:left="720"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Ajánlott szakirodalom:</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Hofmeister-Tóth Ágnes – Mitev Ariel Zoltán: Üzleti kommunikáció és tárgyalástechnika. Akadémiai Kiadó, Budapest, 2007</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Heidrich Balázs: Szervezeti kultúra és interkulturális menedzsment, Human Telex Consulting, Budapest, 2001</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Jake Adelstein: Tokió Vice, HVG Kiadó Zrt</w:t>
            </w:r>
            <w:proofErr w:type="gramStart"/>
            <w:r w:rsidRPr="0068139F">
              <w:rPr>
                <w:rFonts w:ascii="Times New Roman" w:eastAsia="Calibri" w:hAnsi="Times New Roman" w:cs="Times New Roman"/>
                <w:sz w:val="20"/>
                <w:szCs w:val="20"/>
                <w:lang w:eastAsia="hu-HU"/>
              </w:rPr>
              <w:t>.,</w:t>
            </w:r>
            <w:proofErr w:type="gramEnd"/>
            <w:r w:rsidRPr="0068139F">
              <w:rPr>
                <w:rFonts w:ascii="Times New Roman" w:eastAsia="Calibri" w:hAnsi="Times New Roman" w:cs="Times New Roman"/>
                <w:sz w:val="20"/>
                <w:szCs w:val="20"/>
                <w:lang w:eastAsia="hu-HU"/>
              </w:rPr>
              <w:t xml:space="preserve"> Budapest, 2010</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Konczos-Szombathelyi Márta: Kommunikáló kultúrák. L’Harmattan, Budapest, 2008</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Morita Akio: Made in Japan, Árkádia, Budapest, 1989</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Roger E. Axtel: Gesztusok, ajánlott és tiltott testbeszéd a világ minden tájáról. Pécsi Direkt Kft. Alexandra Kiadója, 1997</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Róka Jolán – Sandra Hochel (szerk.): Interkulturális és nemzetközi kommunikáció a globalizálódó világban, Budapesti Kommunikációs és Üzleti Főiskola, Budapest, 2009</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Szabó Ágnes: A marketing nemzetközi vonatkozásai vállalat-gazdaságtani aspektusból. Budapesti Corvinus Egyetem, 2008</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Tóth Tamás: Nemzetközi marketing. Akadémiai Kiadó, Budapest, 2008</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Lillian Chaney – Jeanette Martin: Intercultural Business Communication. Pearson, 2014</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Jean-Claude Usunier – Julie Lee: Marketing across cultures. Pearson, 2012 (Part 1: 1-97p)</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Gerald Albaum – Edwin Duerr – Alexander Josiassen: International marketing and export management. Pearson, 2016 (Chapter 3: 127-161p)</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 Tamer Cavusgil – Gary Knight – John Riesenberger: International business: The new realities, Global edition. Pearson, 2016 (Part 2/3: 84-113p)</w:t>
            </w:r>
          </w:p>
          <w:p w:rsidR="0068139F" w:rsidRPr="0068139F" w:rsidRDefault="0068139F" w:rsidP="0068139F">
            <w:pPr>
              <w:numPr>
                <w:ilvl w:val="0"/>
                <w:numId w:val="19"/>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Stuart Wall- Sonal Minocha – Bronwer Rees: International business. Pearson, 2015 (Chapter 5: 159-188p)</w:t>
            </w:r>
          </w:p>
        </w:tc>
      </w:tr>
    </w:tbl>
    <w:p w:rsidR="0068139F" w:rsidRPr="0068139F" w:rsidRDefault="0068139F" w:rsidP="0068139F">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21"/>
      </w:tblGrid>
      <w:tr w:rsidR="0068139F" w:rsidRPr="0068139F" w:rsidTr="00F76266">
        <w:tc>
          <w:tcPr>
            <w:tcW w:w="9024" w:type="dxa"/>
            <w:gridSpan w:val="2"/>
            <w:shd w:val="clear" w:color="auto" w:fill="auto"/>
          </w:tcPr>
          <w:p w:rsidR="0068139F" w:rsidRPr="0068139F" w:rsidRDefault="0068139F" w:rsidP="0068139F">
            <w:pPr>
              <w:spacing w:after="0" w:line="240" w:lineRule="auto"/>
              <w:jc w:val="center"/>
              <w:rPr>
                <w:rFonts w:ascii="Times New Roman" w:eastAsia="Calibri" w:hAnsi="Times New Roman" w:cs="Times New Roman"/>
                <w:sz w:val="28"/>
                <w:szCs w:val="28"/>
                <w:lang w:eastAsia="hu-HU"/>
              </w:rPr>
            </w:pPr>
            <w:r w:rsidRPr="0068139F">
              <w:rPr>
                <w:rFonts w:ascii="Times New Roman" w:eastAsia="Calibri" w:hAnsi="Times New Roman" w:cs="Times New Roman"/>
                <w:sz w:val="28"/>
                <w:szCs w:val="28"/>
                <w:lang w:eastAsia="hu-HU"/>
              </w:rPr>
              <w:t>Heti bontott tematika</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Bevezetés, a követelmények ismertetése</w:t>
            </w:r>
          </w:p>
        </w:tc>
      </w:tr>
      <w:tr w:rsidR="0068139F" w:rsidRPr="0068139F" w:rsidTr="00F76266">
        <w:trPr>
          <w:trHeight w:val="261"/>
        </w:trPr>
        <w:tc>
          <w:tcPr>
            <w:tcW w:w="1803"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tantárgyi tematikát és a követelményrendszert.</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2</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Magyarország</w:t>
            </w:r>
          </w:p>
        </w:tc>
      </w:tr>
      <w:tr w:rsidR="0068139F" w:rsidRPr="0068139F" w:rsidTr="00F76266">
        <w:tc>
          <w:tcPr>
            <w:tcW w:w="1803"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Magyarország üzleti kultúráját.</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3</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Az Európai Unió (alapító tagok) 1.</w:t>
            </w:r>
          </w:p>
        </w:tc>
      </w:tr>
      <w:tr w:rsidR="0068139F" w:rsidRPr="0068139F" w:rsidTr="00F76266">
        <w:tc>
          <w:tcPr>
            <w:tcW w:w="1803" w:type="dxa"/>
            <w:vMerge/>
            <w:shd w:val="clear" w:color="auto" w:fill="auto"/>
          </w:tcPr>
          <w:p w:rsidR="0068139F" w:rsidRPr="0068139F" w:rsidRDefault="0068139F" w:rsidP="0068139F">
            <w:pPr>
              <w:spacing w:after="0" w:line="240" w:lineRule="auto"/>
              <w:ind w:left="720"/>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az Európai Unió alapító tagjainak üzleti kultúráját.</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4</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Az Európai Unió (alapító tagok) 2.</w:t>
            </w:r>
          </w:p>
        </w:tc>
      </w:tr>
      <w:tr w:rsidR="0068139F" w:rsidRPr="0068139F" w:rsidTr="00F76266">
        <w:tc>
          <w:tcPr>
            <w:tcW w:w="1803" w:type="dxa"/>
            <w:vMerge/>
            <w:shd w:val="clear" w:color="auto" w:fill="auto"/>
          </w:tcPr>
          <w:p w:rsidR="0068139F" w:rsidRPr="0068139F" w:rsidRDefault="0068139F" w:rsidP="0068139F">
            <w:pPr>
              <w:spacing w:after="0" w:line="240" w:lineRule="auto"/>
              <w:ind w:left="720"/>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az Európai Unió alapító tagjainak üzleti kultúráját.</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5</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Üzleti kultúrák: Skandináv országok </w:t>
            </w:r>
          </w:p>
        </w:tc>
      </w:tr>
      <w:tr w:rsidR="0068139F" w:rsidRPr="0068139F" w:rsidTr="00F76266">
        <w:tc>
          <w:tcPr>
            <w:tcW w:w="1803" w:type="dxa"/>
            <w:vMerge/>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hallgatók megismerik a Skandináv országok üzleti kultúráját. </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6</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Üzleti kultúrák: Oroszország </w:t>
            </w:r>
          </w:p>
        </w:tc>
      </w:tr>
      <w:tr w:rsidR="0068139F" w:rsidRPr="0068139F" w:rsidTr="00F76266">
        <w:tc>
          <w:tcPr>
            <w:tcW w:w="1803" w:type="dxa"/>
            <w:vMerge/>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hallgatók megismerik Oroszország üzleti kultúráját. </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7</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Poszt szocialista országok (PL, SK, CZ)</w:t>
            </w:r>
          </w:p>
        </w:tc>
      </w:tr>
      <w:tr w:rsidR="0068139F" w:rsidRPr="0068139F" w:rsidTr="00F76266">
        <w:tc>
          <w:tcPr>
            <w:tcW w:w="1803" w:type="dxa"/>
            <w:vMerge/>
            <w:shd w:val="clear" w:color="auto" w:fill="auto"/>
          </w:tcPr>
          <w:p w:rsidR="0068139F" w:rsidRPr="0068139F" w:rsidRDefault="0068139F" w:rsidP="0068139F">
            <w:pPr>
              <w:spacing w:after="0" w:line="240" w:lineRule="auto"/>
              <w:ind w:left="360"/>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hallgatók megismerik néhány poszt szocialista ország üzleti kultúráját. </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8</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Üzleti kultúrák: Távol-Kelet (Kína, Japán, Dél-Korea) 1. </w:t>
            </w:r>
          </w:p>
        </w:tc>
      </w:tr>
      <w:tr w:rsidR="0068139F" w:rsidRPr="0068139F" w:rsidTr="00F76266">
        <w:tc>
          <w:tcPr>
            <w:tcW w:w="1803" w:type="dxa"/>
            <w:vMerge/>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Kína, Japán és Dél-Korea üzleti kultúráját.</w:t>
            </w:r>
          </w:p>
        </w:tc>
      </w:tr>
      <w:tr w:rsidR="0068139F" w:rsidRPr="0068139F" w:rsidTr="00F76266">
        <w:tc>
          <w:tcPr>
            <w:tcW w:w="1803" w:type="dxa"/>
            <w:vMerge w:val="restart"/>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9</w:t>
            </w:r>
            <w:proofErr w:type="gramStart"/>
            <w:r w:rsidRPr="0068139F">
              <w:rPr>
                <w:rFonts w:ascii="Times New Roman" w:eastAsia="Calibri" w:hAnsi="Times New Roman" w:cs="Times New Roman"/>
                <w:sz w:val="20"/>
                <w:szCs w:val="20"/>
                <w:lang w:eastAsia="hu-HU"/>
              </w:rPr>
              <w:t>.hét</w:t>
            </w:r>
            <w:proofErr w:type="gramEnd"/>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Üzleti kultúrák: Távol-Kelet (Kína, Japán, Dél-Korea) 2. </w:t>
            </w:r>
          </w:p>
        </w:tc>
      </w:tr>
      <w:tr w:rsidR="0068139F" w:rsidRPr="0068139F" w:rsidTr="00F76266">
        <w:tc>
          <w:tcPr>
            <w:tcW w:w="1803" w:type="dxa"/>
            <w:vMerge/>
            <w:shd w:val="clear" w:color="auto" w:fill="auto"/>
          </w:tcPr>
          <w:p w:rsidR="0068139F" w:rsidRPr="0068139F" w:rsidRDefault="0068139F" w:rsidP="0068139F">
            <w:pPr>
              <w:spacing w:after="0" w:line="240" w:lineRule="auto"/>
              <w:ind w:left="720"/>
              <w:rPr>
                <w:rFonts w:ascii="Times New Roman" w:eastAsia="Calibri" w:hAnsi="Times New Roman" w:cs="Times New Roman"/>
                <w:sz w:val="20"/>
                <w:szCs w:val="20"/>
                <w:lang w:eastAsia="hu-HU"/>
              </w:rPr>
            </w:pPr>
          </w:p>
        </w:tc>
        <w:tc>
          <w:tcPr>
            <w:tcW w:w="72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Kína, Japán és Dél-Korea üzleti kultúráját.</w:t>
            </w:r>
          </w:p>
        </w:tc>
      </w:tr>
      <w:tr w:rsidR="0068139F" w:rsidRPr="0068139F" w:rsidTr="00F76266">
        <w:tc>
          <w:tcPr>
            <w:tcW w:w="1803" w:type="dxa"/>
            <w:vMerge w:val="restart"/>
            <w:tcBorders>
              <w:top w:val="single" w:sz="4" w:space="0" w:color="auto"/>
              <w:left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10</w:t>
            </w:r>
            <w:proofErr w:type="gramStart"/>
            <w:r w:rsidRPr="0068139F">
              <w:rPr>
                <w:rFonts w:ascii="Times New Roman" w:eastAsia="Calibri" w:hAnsi="Times New Roman" w:cs="Times New Roman"/>
                <w:sz w:val="20"/>
                <w:szCs w:val="20"/>
                <w:lang w:eastAsia="hu-HU"/>
              </w:rPr>
              <w:t>.hét</w:t>
            </w:r>
            <w:proofErr w:type="gramEnd"/>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Üzleti kultúrák: USA és az arab világ </w:t>
            </w:r>
          </w:p>
        </w:tc>
      </w:tr>
      <w:tr w:rsidR="0068139F" w:rsidRPr="0068139F" w:rsidTr="00F76266">
        <w:tc>
          <w:tcPr>
            <w:tcW w:w="1803" w:type="dxa"/>
            <w:vMerge/>
            <w:tcBorders>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hallgatók megismerik az USA és az arab világ üzleti kultúráját. </w:t>
            </w:r>
          </w:p>
        </w:tc>
      </w:tr>
      <w:tr w:rsidR="0068139F" w:rsidRPr="0068139F" w:rsidTr="00F76266">
        <w:tc>
          <w:tcPr>
            <w:tcW w:w="1803" w:type="dxa"/>
            <w:vMerge w:val="restart"/>
            <w:tcBorders>
              <w:top w:val="single" w:sz="4" w:space="0" w:color="auto"/>
              <w:left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11</w:t>
            </w:r>
            <w:proofErr w:type="gramStart"/>
            <w:r w:rsidRPr="0068139F">
              <w:rPr>
                <w:rFonts w:ascii="Times New Roman" w:eastAsia="Calibri" w:hAnsi="Times New Roman" w:cs="Times New Roman"/>
                <w:sz w:val="20"/>
                <w:szCs w:val="20"/>
                <w:lang w:eastAsia="hu-HU"/>
              </w:rPr>
              <w:t>.hét</w:t>
            </w:r>
            <w:proofErr w:type="gramEnd"/>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Balkáni térség</w:t>
            </w:r>
          </w:p>
        </w:tc>
      </w:tr>
      <w:tr w:rsidR="0068139F" w:rsidRPr="0068139F" w:rsidTr="00F76266">
        <w:tc>
          <w:tcPr>
            <w:tcW w:w="1803" w:type="dxa"/>
            <w:vMerge/>
            <w:tcBorders>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balkáni térség üzleti kultúráját.</w:t>
            </w:r>
          </w:p>
        </w:tc>
      </w:tr>
      <w:tr w:rsidR="0068139F" w:rsidRPr="0068139F" w:rsidTr="00F76266">
        <w:tc>
          <w:tcPr>
            <w:tcW w:w="1803" w:type="dxa"/>
            <w:vMerge w:val="restart"/>
            <w:tcBorders>
              <w:top w:val="single" w:sz="4" w:space="0" w:color="auto"/>
              <w:left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12</w:t>
            </w:r>
            <w:proofErr w:type="gramStart"/>
            <w:r w:rsidRPr="0068139F">
              <w:rPr>
                <w:rFonts w:ascii="Times New Roman" w:eastAsia="Calibri" w:hAnsi="Times New Roman" w:cs="Times New Roman"/>
                <w:sz w:val="20"/>
                <w:szCs w:val="20"/>
                <w:lang w:eastAsia="hu-HU"/>
              </w:rPr>
              <w:t>.hét</w:t>
            </w:r>
            <w:proofErr w:type="gramEnd"/>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hallgatói prezentációk</w:t>
            </w:r>
          </w:p>
        </w:tc>
      </w:tr>
      <w:tr w:rsidR="0068139F" w:rsidRPr="0068139F" w:rsidTr="00F76266">
        <w:tc>
          <w:tcPr>
            <w:tcW w:w="1803" w:type="dxa"/>
            <w:vMerge/>
            <w:tcBorders>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hallgatók megismerik a bemutatott ország üzleti kultúráját. </w:t>
            </w:r>
          </w:p>
        </w:tc>
      </w:tr>
      <w:tr w:rsidR="0068139F" w:rsidRPr="0068139F" w:rsidTr="00F76266">
        <w:tc>
          <w:tcPr>
            <w:tcW w:w="1803" w:type="dxa"/>
            <w:vMerge w:val="restart"/>
            <w:tcBorders>
              <w:top w:val="single" w:sz="4" w:space="0" w:color="auto"/>
              <w:left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13</w:t>
            </w:r>
            <w:proofErr w:type="gramStart"/>
            <w:r w:rsidRPr="0068139F">
              <w:rPr>
                <w:rFonts w:ascii="Times New Roman" w:eastAsia="Calibri" w:hAnsi="Times New Roman" w:cs="Times New Roman"/>
                <w:sz w:val="20"/>
                <w:szCs w:val="20"/>
                <w:lang w:eastAsia="hu-HU"/>
              </w:rPr>
              <w:t>.hét</w:t>
            </w:r>
            <w:proofErr w:type="gramEnd"/>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hallgatói prezentációk</w:t>
            </w:r>
          </w:p>
        </w:tc>
      </w:tr>
      <w:tr w:rsidR="0068139F" w:rsidRPr="0068139F" w:rsidTr="00F76266">
        <w:tc>
          <w:tcPr>
            <w:tcW w:w="1803" w:type="dxa"/>
            <w:vMerge/>
            <w:tcBorders>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ind w:left="720"/>
              <w:rPr>
                <w:rFonts w:ascii="Times New Roman" w:eastAsia="Calibri" w:hAnsi="Times New Roman" w:cs="Times New Roman"/>
                <w:sz w:val="20"/>
                <w:szCs w:val="20"/>
                <w:lang w:eastAsia="hu-HU"/>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bemutatott ország üzleti kultúráját.</w:t>
            </w:r>
          </w:p>
        </w:tc>
      </w:tr>
      <w:tr w:rsidR="0068139F" w:rsidRPr="0068139F" w:rsidTr="00F76266">
        <w:tc>
          <w:tcPr>
            <w:tcW w:w="1803" w:type="dxa"/>
            <w:vMerge w:val="restart"/>
            <w:tcBorders>
              <w:top w:val="single" w:sz="4" w:space="0" w:color="auto"/>
              <w:left w:val="single" w:sz="4" w:space="0" w:color="auto"/>
              <w:right w:val="single" w:sz="4" w:space="0" w:color="auto"/>
            </w:tcBorders>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14</w:t>
            </w:r>
            <w:proofErr w:type="gramStart"/>
            <w:r w:rsidRPr="0068139F">
              <w:rPr>
                <w:rFonts w:ascii="Times New Roman" w:eastAsia="Calibri" w:hAnsi="Times New Roman" w:cs="Times New Roman"/>
                <w:sz w:val="20"/>
                <w:szCs w:val="20"/>
                <w:lang w:eastAsia="hu-HU"/>
              </w:rPr>
              <w:t>.hét</w:t>
            </w:r>
            <w:proofErr w:type="gramEnd"/>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Üzleti kultúrák: hallgatói prezentációk</w:t>
            </w:r>
          </w:p>
        </w:tc>
      </w:tr>
      <w:tr w:rsidR="0068139F" w:rsidRPr="0068139F" w:rsidTr="00F76266">
        <w:tc>
          <w:tcPr>
            <w:tcW w:w="1803" w:type="dxa"/>
            <w:vMerge/>
            <w:tcBorders>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ind w:left="720"/>
              <w:rPr>
                <w:rFonts w:ascii="Times New Roman" w:eastAsia="Calibri" w:hAnsi="Times New Roman" w:cs="Times New Roman"/>
                <w:sz w:val="20"/>
                <w:szCs w:val="20"/>
                <w:lang w:eastAsia="hu-HU"/>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hallgatók megismerik a bemutatott ország üzleti kultúráját.</w:t>
            </w:r>
          </w:p>
        </w:tc>
      </w:tr>
    </w:tbl>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tanulási eredmények</w:t>
      </w:r>
    </w:p>
    <w:p w:rsidR="0068139F" w:rsidRPr="0068139F" w:rsidRDefault="0068139F" w:rsidP="0068139F">
      <w:pPr>
        <w:spacing w:after="0" w:line="240" w:lineRule="auto"/>
        <w:rPr>
          <w:rFonts w:ascii="Times New Roman" w:eastAsia="Calibri" w:hAnsi="Times New Roman" w:cs="Times New Roman"/>
          <w:sz w:val="20"/>
          <w:szCs w:val="20"/>
          <w:lang w:eastAsia="hu-HU"/>
        </w:rPr>
      </w:pPr>
    </w:p>
    <w:p w:rsidR="0068139F" w:rsidRDefault="0068139F">
      <w:pPr>
        <w:rPr>
          <w:rFonts w:ascii="Times New Roman" w:hAnsi="Times New Roman" w:cs="Times New Roman"/>
          <w:color w:val="FF0000"/>
          <w:sz w:val="20"/>
          <w:szCs w:val="20"/>
        </w:rPr>
      </w:pPr>
      <w:r>
        <w:rPr>
          <w:rFonts w:ascii="Times New Roman" w:hAnsi="Times New Roman" w:cs="Times New Roman"/>
          <w:color w:val="FF0000"/>
          <w:sz w:val="20"/>
          <w:szCs w:val="20"/>
        </w:rPr>
        <w:br w:type="page"/>
      </w:r>
    </w:p>
    <w:p w:rsidR="0068139F" w:rsidRPr="0068139F" w:rsidRDefault="0068139F" w:rsidP="0068139F">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139F" w:rsidRPr="0068139F" w:rsidTr="00F7626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b/>
                <w:sz w:val="20"/>
                <w:szCs w:val="20"/>
                <w:lang w:eastAsia="hu-HU"/>
              </w:rPr>
            </w:pPr>
            <w:r w:rsidRPr="0068139F">
              <w:rPr>
                <w:rFonts w:ascii="Times New Roman" w:eastAsia="Arial Unicode MS" w:hAnsi="Times New Roman" w:cs="Times New Roman"/>
                <w:b/>
                <w:sz w:val="20"/>
                <w:szCs w:val="20"/>
                <w:lang w:eastAsia="hu-HU"/>
              </w:rPr>
              <w:t>A regionális fejlesztés elmélete és gyakorlata</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GT_MNGN507-17</w:t>
            </w:r>
          </w:p>
        </w:tc>
      </w:tr>
      <w:tr w:rsidR="0068139F" w:rsidRPr="0068139F" w:rsidTr="00F7626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val="en-GB" w:eastAsia="hu-HU"/>
              </w:rPr>
            </w:pPr>
            <w:r w:rsidRPr="0068139F">
              <w:rPr>
                <w:rFonts w:ascii="Times New Roman" w:eastAsia="Calibri" w:hAnsi="Times New Roman" w:cs="Times New Roman"/>
                <w:b/>
                <w:sz w:val="20"/>
                <w:szCs w:val="20"/>
                <w:lang w:val="en-GB" w:eastAsia="hu-HU"/>
              </w:rPr>
              <w:t>Theory and Practice of Regional Development</w:t>
            </w: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p>
        </w:tc>
      </w:tr>
      <w:tr w:rsidR="0068139F" w:rsidRPr="0068139F" w:rsidTr="00F7626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b/>
                <w:bCs/>
                <w:sz w:val="20"/>
                <w:szCs w:val="20"/>
                <w:lang w:eastAsia="hu-HU"/>
              </w:rPr>
            </w:pPr>
          </w:p>
        </w:tc>
      </w:tr>
      <w:tr w:rsidR="0068139F" w:rsidRPr="0068139F" w:rsidTr="00F7626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DE GTK VGNKI</w:t>
            </w:r>
          </w:p>
        </w:tc>
      </w:tr>
      <w:tr w:rsidR="0068139F" w:rsidRPr="0068139F" w:rsidTr="00F7626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numPr>
                <w:ilvl w:val="0"/>
                <w:numId w:val="20"/>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numPr>
                <w:ilvl w:val="0"/>
                <w:numId w:val="20"/>
              </w:numPr>
              <w:spacing w:after="0" w:line="240" w:lineRule="auto"/>
              <w:jc w:val="center"/>
              <w:rPr>
                <w:rFonts w:ascii="Times New Roman" w:eastAsia="Arial Unicode MS" w:hAnsi="Times New Roman" w:cs="Times New Roman"/>
                <w:sz w:val="20"/>
                <w:szCs w:val="20"/>
                <w:lang w:eastAsia="hu-HU"/>
              </w:rPr>
            </w:pPr>
          </w:p>
        </w:tc>
      </w:tr>
      <w:tr w:rsidR="0068139F" w:rsidRPr="0068139F" w:rsidTr="00F76266">
        <w:trPr>
          <w:trHeight w:val="193"/>
        </w:trPr>
        <w:tc>
          <w:tcPr>
            <w:tcW w:w="1604" w:type="dxa"/>
            <w:gridSpan w:val="2"/>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Oktatás nyelve</w:t>
            </w:r>
          </w:p>
        </w:tc>
      </w:tr>
      <w:tr w:rsidR="0068139F" w:rsidRPr="0068139F" w:rsidTr="00F76266">
        <w:trPr>
          <w:trHeight w:val="221"/>
        </w:trPr>
        <w:tc>
          <w:tcPr>
            <w:tcW w:w="1604" w:type="dxa"/>
            <w:gridSpan w:val="2"/>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magyar</w:t>
            </w:r>
          </w:p>
        </w:tc>
      </w:tr>
      <w:tr w:rsidR="0068139F" w:rsidRPr="0068139F" w:rsidTr="00F76266">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r>
      <w:tr w:rsidR="0068139F" w:rsidRPr="0068139F" w:rsidTr="00F7626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Dr. Sigér Fruzsina</w:t>
            </w: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adjunktus</w:t>
            </w:r>
          </w:p>
        </w:tc>
      </w:tr>
      <w:tr w:rsidR="0068139F" w:rsidRPr="0068139F" w:rsidTr="00F7626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b/>
                <w:bCs/>
                <w:sz w:val="20"/>
                <w:szCs w:val="20"/>
                <w:lang w:eastAsia="hu-HU"/>
              </w:rPr>
              <w:t xml:space="preserve">A kurzus célja </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hallgatók megismertetése a regionális fejlesztés és politika fogalmával, történetével és fontosságával, a fejlesztéspolitikát alátámasztó közgazdasági elméletekkel, az uniós strukturális alapok kialakulásával és változásaival. A kurzus során a hallgatók végig követhetik Magyarország Európai Unióhoz való csatlakozását megelőző és azt követő időszakának regionális politikai eszköz- és intézményrendszeri alakulását és az uniós források adta lehetőségeket. A szemeszter második felében a hallgatók megismerhetik a pályázati lehetőségek hátterét, valamint előtérbe kerül a fejlesztés gyakorlati oldala.</w:t>
            </w:r>
          </w:p>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trHeight w:val="1400"/>
        </w:trPr>
        <w:tc>
          <w:tcPr>
            <w:tcW w:w="9939" w:type="dxa"/>
            <w:gridSpan w:val="10"/>
            <w:tcBorders>
              <w:top w:val="single" w:sz="4" w:space="0" w:color="auto"/>
              <w:left w:val="single" w:sz="4" w:space="0" w:color="auto"/>
              <w:right w:val="single" w:sz="4" w:space="0" w:color="000000"/>
            </w:tcBorders>
            <w:vAlign w:val="center"/>
          </w:tcPr>
          <w:p w:rsidR="0068139F" w:rsidRPr="0068139F" w:rsidRDefault="0068139F" w:rsidP="0068139F">
            <w:pPr>
              <w:spacing w:after="0" w:line="240" w:lineRule="auto"/>
              <w:jc w:val="both"/>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 xml:space="preserve">Tudás: </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az európai integrációs folyamatot és az Európai Uniónak a tevékenységéhez kapcsolódó szakpolitikáit.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Képesség:</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Nemzetközi, multikulturális környezetben is képes hatékony munkavégzésre.</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Attitűd:</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Nyitott és befogadó a gazdaságtudomány és gyakorlat új eredményei iránt.</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lastRenderedPageBreak/>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Elkötelezett az általános társadalmi értékek mellett, szociálisan érzékeny mind hazai, mind nemzetközi viszonylatban.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 Érdeklődéssel fordul a kapcsolódó szaktudományok eredményei és megoldásai felé, nyitott a kapcsolatépítésre.</w:t>
            </w:r>
          </w:p>
          <w:p w:rsidR="0068139F" w:rsidRPr="0068139F" w:rsidRDefault="0068139F" w:rsidP="0068139F">
            <w:pPr>
              <w:spacing w:after="0" w:line="240" w:lineRule="auto"/>
              <w:ind w:left="40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Autonómia és felelősség:</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68139F" w:rsidRPr="0068139F" w:rsidRDefault="0068139F" w:rsidP="0068139F">
            <w:pPr>
              <w:spacing w:after="0" w:line="240" w:lineRule="auto"/>
              <w:ind w:left="720"/>
              <w:rPr>
                <w:rFonts w:ascii="Times New Roman" w:eastAsia="Arial Unicode MS" w:hAnsi="Times New Roman" w:cs="Times New Roman"/>
                <w:b/>
                <w:bCs/>
                <w:sz w:val="20"/>
                <w:szCs w:val="20"/>
                <w:lang w:eastAsia="hu-HU"/>
              </w:rPr>
            </w:pPr>
          </w:p>
        </w:tc>
      </w:tr>
      <w:tr w:rsidR="0068139F" w:rsidRPr="0068139F" w:rsidTr="00F7626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lastRenderedPageBreak/>
              <w:t>A kurzus rövid tartalma, témakörei</w:t>
            </w:r>
          </w:p>
          <w:p w:rsidR="0068139F" w:rsidRPr="0068139F" w:rsidRDefault="0068139F" w:rsidP="0068139F">
            <w:pPr>
              <w:spacing w:after="0" w:line="240" w:lineRule="auto"/>
              <w:jc w:val="both"/>
              <w:rPr>
                <w:rFonts w:ascii="Times New Roman" w:eastAsia="Calibri" w:hAnsi="Times New Roman" w:cs="Times New Roman"/>
                <w:sz w:val="20"/>
                <w:szCs w:val="20"/>
                <w:lang w:eastAsia="hu-HU"/>
              </w:rPr>
            </w:pP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roofErr w:type="gramStart"/>
            <w:r w:rsidRPr="0068139F">
              <w:rPr>
                <w:rFonts w:ascii="Times New Roman" w:eastAsia="Calibri" w:hAnsi="Times New Roman" w:cs="Times New Roman"/>
                <w:sz w:val="20"/>
                <w:szCs w:val="20"/>
                <w:lang w:eastAsia="hu-HU"/>
              </w:rPr>
              <w:t>Bevezető óra - a követelmény-rendszer és a tantárgyi tematika ismertetése; Bevezetés a regionális tudományokba; A regionális különbségek kiegyenlítődése hosszú távon: A konvergencia- és divergenciaelméletek; A közösségi beavatkozások indokai; Az európai uniós közös regionális politika kialakulása, célkitűzései; Az EU regionális politikája – alappillérek (célkitűzések, pénzügyi források, alapelvek); Az EU pénzügyi-tervezési időszakjainak jellemzői; Programozás, támogatásra jogosult szintek, kiadások; A támogatások szerepe a felzárkózásban, a támogatások hatása, értékelés; Az EU regionális politikájának</w:t>
            </w:r>
            <w:proofErr w:type="gramEnd"/>
            <w:r w:rsidRPr="0068139F">
              <w:rPr>
                <w:rFonts w:ascii="Times New Roman" w:eastAsia="Calibri" w:hAnsi="Times New Roman" w:cs="Times New Roman"/>
                <w:sz w:val="20"/>
                <w:szCs w:val="20"/>
                <w:lang w:eastAsia="hu-HU"/>
              </w:rPr>
              <w:t xml:space="preserve"> politikai gazdaságtani megközelítése; Európai területi együttműködési programok, példák; EU2020, Az EU regionális politikája 2014-2020 közt; Jelenlegi operatív programok, pályázatkeresés;</w:t>
            </w:r>
          </w:p>
        </w:tc>
      </w:tr>
      <w:tr w:rsidR="0068139F" w:rsidRPr="0068139F" w:rsidTr="00F7626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Tervezett tanulási tevékenységek, tanítási módszerek</w:t>
            </w:r>
          </w:p>
          <w:p w:rsidR="0068139F" w:rsidRPr="0068139F" w:rsidRDefault="0068139F" w:rsidP="0068139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A kurzus előadás és szeminárium keretében kerül oktatásra. Az előadás alatt a kötelező ismeretek átadása történik meg, míg a gyakorlatok alkalmával a hallgatók egyéni kutatómunkán keresztül vonhatók be a téma feldolgozásába kiselőadások segítségével. A kurzus ismereteinek elsajátítását alkalmanként külső előadók, valamint a lehetőségekhez képest projektlátogatások is segítik. </w:t>
            </w:r>
          </w:p>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Értékelés</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hallgatók számára az előadások látogatása erősen ajánlott, a szemináriumokon való részvétel kötelező. Az órai aktivitás, a kiadott gyakorlati feladatok feldolgozása, valamint a félévi ZH dolgozat alapján jegymegajánlás történik. Kiselőadást tartani előre egyeztetett témában és cikkből lehet.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Jegymegajánlás az órai aktivitás, a kiadott gyakorlati feladatok feldolgozása, kiselőadás (50%), valamint a félévi ZH dolgozat (50%) alapján.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Amennyiben ez nem megfelelő a hallgató számára, írásbeli vizsgát tehet a vizsgaidőszakban kifejtős kérdésre adandó válaszokkal, melynek értékelése:</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0-55% elégtelen, 55-65% elégséges, 66-75% közepes, 76-85% jó, 86-100% jeles.</w:t>
            </w:r>
          </w:p>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Kötelező szakirodalom:</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Az órák anyagai és a következő könyvekből, cikkekből az órán megbeszélt részletek:</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1. Nagy Sándor Gyula – Heil Péter (szerk.) (2013): A kohéziós politika elmélete és gyakorlata. Akadémiai, Bp.</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2. Fábián Attila – Pogátsa Zoltán (szerk.) (2016): Az európai kohéziós politika gazdaságtana. Akadémiai, Bp.</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3. Kengyel Ákos (2015): Kohéziós politika és felzárkózás az Európai Unióban. Akadémiai Kiadó, Bp.</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Allen, David (2005): Cohesion and the Structural Funds. In: Wallace, Helen – Wallace, Hanry (szerk.): Policy Making in the European Union. Oxford University Press, Oxford. 213-241.</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Bachtler, John – Méndez, Carlos (2007): Who governs EU cohesion Policy? Deconstructing the reforms of the structural funds. Journal of Common Market Studies, Vol. 45. N. 3. 535-564.</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Czeglédi Pál (2008): A gazdasági növekedés elméleteinek szerepe. Kézirat.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Európai Bizottság (2011): Kohéziós politika 2014-2020. Befektetés a növekedésbe es a munkahelyekbe. Brüsszel. http://ec.europa.eu/regional_policy/sources/docoffic/official/regulation/pdf/2014/proposals/regulation2014_leaflet_hu.pdf Letöltés időpontja: 2012. 01. 15.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Horváth Zoltán (2011): Kézikönyv az Európai Unióról. Magyar Országgyűlés, Budapest;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Kengyel Ákos (2008): Kohézió és finanszírozás. Akadémia Kiadó, Budapest;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Kozma Gábor (2004): Regionális gazdaságtan. Debreceni Egyetem. /Telephelyelméletek./</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Krugman, Paul (2000): A földrajz szerepe a fejlődésben. Tér és társadalom, XIV. évf. 4. sz. 1-21.</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lastRenderedPageBreak/>
              <w:t>Farkas Beáta (2008): Az Európai Unió kohéziós politikája. JatePress, Szeged;</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Faragó László (1997): Tervezéselméleti alapvetések. Tér és Társadalom, 11/3. 1-15.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Mustó István (2004): Development economics – development policies. Some remarks on concepts, applications and fallacies. Competitio, </w:t>
            </w:r>
            <w:proofErr w:type="gramStart"/>
            <w:r w:rsidRPr="0068139F">
              <w:rPr>
                <w:rFonts w:ascii="Times New Roman" w:eastAsia="Calibri" w:hAnsi="Times New Roman" w:cs="Times New Roman"/>
                <w:sz w:val="20"/>
                <w:szCs w:val="20"/>
                <w:lang w:eastAsia="hu-HU"/>
              </w:rPr>
              <w:t>3(</w:t>
            </w:r>
            <w:proofErr w:type="gramEnd"/>
            <w:r w:rsidRPr="0068139F">
              <w:rPr>
                <w:rFonts w:ascii="Times New Roman" w:eastAsia="Calibri" w:hAnsi="Times New Roman" w:cs="Times New Roman"/>
                <w:sz w:val="20"/>
                <w:szCs w:val="20"/>
                <w:lang w:eastAsia="hu-HU"/>
              </w:rPr>
              <w:t>2): 46-58.</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Rechnitzer János – Smahó Melinda (2011): Területi politika. Akadémiai Kiadó, Budapest.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Ricz Judit (2006): Régió – A regionális tudományok megközelítésében. Megjelent: Juhász Erika (szerk): Régiók és oktatás. A „Regionális egyetem” kutatás záró konferenciájának tanulmánykötete. Doktoranduszok Kiss Árpád Közhasznú Egyesülete, Debrecen. 359-365.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Ricz Judit (2005): Paradigmaváltás a fejlődésgazdaságtanban. Competitio, 4. évf. 2. sz 109-123.</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Stiglitz, Joseph, E. (2000): A kormányzati szektor gazdaságtana. KJK-Kerszöv. Budapest. (kijelölt fejezet)</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Sutcliffe, John B. (2000): The 1999 Reform of the Structural Fund Regulations: Multi-Level Governance or Renationalization? Journal of European Public Policy, 7. évf. 2. sz. 290-309.</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Trón Zsuzsanna (2009): Az Európai Unió regionális politikájának céljai és eredménye. Doktori disszertáció, Debreceni Egyetem, KTK, Debrecen. Letölthető a következő honlapról: http://ganymedes.lib.unideb.hu:8080 /dea /bitstream /2437 /89559 /1 /DoktoriErtekezesTronZsuzsanna_</w:t>
            </w:r>
            <w:proofErr w:type="gramStart"/>
            <w:r w:rsidRPr="0068139F">
              <w:rPr>
                <w:rFonts w:ascii="Times New Roman" w:eastAsia="Calibri" w:hAnsi="Times New Roman" w:cs="Times New Roman"/>
                <w:sz w:val="20"/>
                <w:szCs w:val="20"/>
                <w:lang w:eastAsia="hu-HU"/>
              </w:rPr>
              <w:t>.pdf</w:t>
            </w:r>
            <w:proofErr w:type="gramEnd"/>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Váradi Balázs (2006): Miért folyik a csata? Avagy a 8000 milliárd átka. Élet és Irodalom, 2006. november 03. 44. szám és Váradi Balázs (2007): A nyolcezermilliárd átka II. Élet és Irodalom, LI. évfolyam 2. szám, 2007. január 12.</w:t>
            </w:r>
          </w:p>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Ajánlott szakirodalom:</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color w:val="0000FF"/>
                <w:sz w:val="20"/>
                <w:szCs w:val="20"/>
                <w:u w:val="single"/>
                <w:lang w:eastAsia="hu-HU"/>
              </w:rPr>
            </w:pPr>
            <w:r w:rsidRPr="0068139F">
              <w:rPr>
                <w:rFonts w:ascii="Times New Roman" w:eastAsia="Calibri" w:hAnsi="Times New Roman" w:cs="Times New Roman"/>
                <w:sz w:val="20"/>
                <w:szCs w:val="20"/>
                <w:lang w:eastAsia="hu-HU"/>
              </w:rPr>
              <w:t xml:space="preserve">Antonescu, Daniela (2020): New cohesion and regional policy in 2021-2027 period. MPRA Paper No. 98122. pp. 3-20.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Bachtler, J – Mendez, C – Wishlade, F (2019): Reforming the MFF and Cohesion Policy 2021-27: pragmatic drift or paradigmatic shift? European Policy Research Paper No. 107</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Benko, Georges (1999): Regionális tudomány. (Több fejezet is választható)</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Benedek József (2010): Régiók kialakulása és változása: véletlen vagy szükségszerűség? Tér és Társadalom XXIV. évf. 3: 193–201</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Casula, Mattia (2019): Centralizing cohesion policy in times of austerity: evidence from the policy cycle. Policy Studies, Online, 1-18. </w:t>
            </w:r>
            <w:hyperlink r:id="rId38" w:history="1">
              <w:r w:rsidRPr="0068139F">
                <w:rPr>
                  <w:rFonts w:ascii="Times New Roman" w:eastAsia="Calibri" w:hAnsi="Times New Roman" w:cs="Times New Roman"/>
                  <w:color w:val="0000FF"/>
                  <w:sz w:val="20"/>
                  <w:szCs w:val="20"/>
                  <w:u w:val="single"/>
                  <w:lang w:eastAsia="hu-HU"/>
                </w:rPr>
                <w:t>https://doi.org/10.1080/01442872.2019.1606903</w:t>
              </w:r>
            </w:hyperlink>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EC (2020): Study on national policies and convergence. Directorate-General Regional and Urban Policy.</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Unit B1 Policy Development and Economic Analysis, Luxembourg: Publications Office of the European Union.</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Európai Bizottság (2018): Regional development and cohesion beyond 2020. 5 factsheets. 1-12. https://ec.europa.eu/commission/publications/regional-development-and-cohesion_en</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Európai Bizottság (2015): EUROPEAN STRUCTURAL AND INVESTMENT FUNDS 2014-2020: Official texts and commentaries. https://ec.europa.eu/regional_policy/sources/docgener/guides/blue_book/blueguide_en.pdf 15-46.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Európai Bizottság (2011a): Kohéziós politika 2015-2020. Befektetés a növekedésbe es a munkahelyekbe. Brüsszel. http://ec.europa.eu/regional_policy/sources/docoffic/official/regulation/pdf/2015/proposals/regulation2015_leaflet_hu.pdf Letöltés időpontja: 2012. 01. 15.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Európai Bizottság (2011b): ANALYSIS OF ERRORS IN COHESION POLICY FOR THE YEARS 2006-2009 ACTIONS TAKEN BY THE COMMISSION AND THE WAY FORWARD. COMMISSION STAFF WORKING PAPER. http://www.europarl.europa.eu/document/activities/cont/201110/20111025ATT30248/20111025ATT30248EN</w:t>
            </w:r>
            <w:proofErr w:type="gramStart"/>
            <w:r w:rsidRPr="0068139F">
              <w:rPr>
                <w:rFonts w:ascii="Times New Roman" w:eastAsia="Calibri" w:hAnsi="Times New Roman" w:cs="Times New Roman"/>
                <w:sz w:val="20"/>
                <w:szCs w:val="20"/>
                <w:lang w:eastAsia="hu-HU"/>
              </w:rPr>
              <w:t>.pdf</w:t>
            </w:r>
            <w:proofErr w:type="gramEnd"/>
            <w:r w:rsidRPr="0068139F">
              <w:rPr>
                <w:rFonts w:ascii="Times New Roman" w:eastAsia="Calibri" w:hAnsi="Times New Roman" w:cs="Times New Roman"/>
                <w:sz w:val="20"/>
                <w:szCs w:val="20"/>
                <w:lang w:eastAsia="hu-HU"/>
              </w:rPr>
              <w:t xml:space="preserve"> Letöltés időpontja: 2012. 01. 15.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Gyuris Ferenc (2011): A Williamson-hipotézis. Egy koncepció tartalma, kritikája és utóélete. TÉT, 25. évf., 2. szám, 4-25.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Incaltarau, Cristian – Pascariu, Gabriela Carmen – Surubaru, Neculai-Cristian (2020): Evaluating the Determinants of EU Funds Absorption across Old and New Member States – the Role of Administrative Capacity and Political Governance. JCMS 2020 online pp. 1–21. https://onlinelibrary.wiley.com/doi/epdf/10.1111/jcms.12995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Jones, Charles I. – Romer, Paul M. (2010): The New Kaldor Facts: Ideas, Institutions, Population, and Human Capital. American Economic Journal: Macroeconomics 2010, 2:1, 224–245.</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Martin, Philippe (1999): Are European regional policies delivering? EIB Papers, 4. Vol. 2. Issue, 10-23. </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Maza, Adolfo – Villaverde, José (2011): EU regional convergence and policy: Does the concept of region matter? Journal of Policy Modeling 33. 889-900.</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Rauhut, Daniel – Humer, Alois (2020): EU Cohesion Policy and spatial economic growth: trajectories in economic thought, European Planning Studies. Online, 1-18. https://doi.org/10.1080/09654313.2019.1709416</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Schmitt-Egner, Peter (2002) The Concept of 'Region': Theoretical and Methodological Notes on its Reconstruction, Journal of European Integration, 24:3, 179-200</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68139F" w:rsidRPr="0068139F" w:rsidRDefault="0068139F" w:rsidP="0068139F">
      <w:pPr>
        <w:spacing w:after="0" w:line="240" w:lineRule="auto"/>
        <w:rPr>
          <w:rFonts w:ascii="Times New Roman" w:eastAsia="Calibri" w:hAnsi="Times New Roman" w:cs="Times New Roman"/>
          <w:sz w:val="20"/>
          <w:szCs w:val="20"/>
          <w:lang w:eastAsia="hu-HU"/>
        </w:rPr>
      </w:pP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68139F" w:rsidRPr="0068139F" w:rsidTr="00F76266">
        <w:tc>
          <w:tcPr>
            <w:tcW w:w="9250" w:type="dxa"/>
            <w:gridSpan w:val="2"/>
            <w:shd w:val="clear" w:color="auto" w:fill="auto"/>
          </w:tcPr>
          <w:p w:rsidR="0068139F" w:rsidRPr="0068139F" w:rsidRDefault="0068139F" w:rsidP="0068139F">
            <w:pPr>
              <w:spacing w:after="0" w:line="240" w:lineRule="auto"/>
              <w:jc w:val="center"/>
              <w:rPr>
                <w:rFonts w:ascii="Times New Roman" w:eastAsia="Calibri" w:hAnsi="Times New Roman" w:cs="Times New Roman"/>
                <w:sz w:val="24"/>
                <w:szCs w:val="24"/>
                <w:lang w:eastAsia="hu-HU"/>
              </w:rPr>
            </w:pPr>
            <w:r w:rsidRPr="0068139F">
              <w:rPr>
                <w:rFonts w:ascii="Times New Roman" w:eastAsia="Calibri" w:hAnsi="Times New Roman" w:cs="Times New Roman"/>
                <w:sz w:val="24"/>
                <w:szCs w:val="24"/>
                <w:lang w:eastAsia="hu-HU"/>
              </w:rPr>
              <w:lastRenderedPageBreak/>
              <w:t>Heti bontott tematika</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E: Bevezető óra </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Bevezetés a regionális tudományokba</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követelmény-rendszer és a tantárgyi tematika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regionális különbségek kiegyenlítődése hosszú távon: konvergencia- és divergenciaelméletek.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Növekedéselméletek, fejlődéselméletek; Klasszikus telephelyelméletek, az új gazdaságföldrajz elméletei;</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regionális fejlesztés, fejlődés elméleteinek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közösségi beavatkozások indokai, az EU fejlődése és a regionális politika kapcsolata</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regionális politika és fejlesztés igényének és logikájának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E: Az európai uniós közös regionális politika kialakulása </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Az uniós regionális politika történelmének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Strukturális Alapok: fogalmak, tervezésük, felhasználásuk az uniós fejl.pol.ban</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Az EU regionális politikájának politikai gazdaságtani megközelítése; A támogatások szerepe a felzárkózásban, a támogatások hatása, értékelés;</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regionális politika forrásainak és eszközeinek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Az EU pénzügyi-tervezési időszakjainak jellemzői; Programozás, támogatásra jogosult szintek, kiadások; Az EU regionális politikája 2014-2020 közt és 2020 után;</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Alapok és célkitűzések megismerése, a jelenlegi programozási időszak megismerése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magyar regionális fejlesztés</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Konkrét példák megismerése, </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magyar regionális fejlesztés intézményrendszere</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magyar rendszer ismerete</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Pályázati kiírások felépítése, Projektek végrehajtása, Monitoring,</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Átfogó ismeret a magyar területfejlesztés működéséről</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A 2014-2020-as programozási időszak magyar operatív programjai</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Átfogó ismeret a magyar területfejlesztés jelen céljairól</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Vendégelőadó</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Hallgatói prezentációk</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regionális politika szakértői szemmel, gyakorlati szemszögből</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E: A regionális támogatások értékelése, Ismétlés </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SZ: Hallgatói prezentációk </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A félévben tanultak áttekintése, ellentmondások feloldása, kérdésekre való lehetőség</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Projektlátogatás</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Zárthelyi dolgozat</w:t>
            </w:r>
          </w:p>
        </w:tc>
      </w:tr>
      <w:tr w:rsidR="0068139F" w:rsidRPr="0068139F" w:rsidTr="00F76266">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Beszámolás a félévben tanultakról</w:t>
            </w:r>
          </w:p>
        </w:tc>
      </w:tr>
      <w:tr w:rsidR="0068139F" w:rsidRPr="0068139F" w:rsidTr="00F76266">
        <w:tc>
          <w:tcPr>
            <w:tcW w:w="1529" w:type="dxa"/>
            <w:vMerge w:val="restart"/>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E: Értékelés, Jegymegajánlás</w:t>
            </w:r>
          </w:p>
        </w:tc>
      </w:tr>
      <w:tr w:rsidR="0068139F" w:rsidRPr="0068139F" w:rsidTr="00F76266">
        <w:trPr>
          <w:trHeight w:val="70"/>
        </w:trPr>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SZ: Javítási lehetőség</w:t>
            </w:r>
          </w:p>
        </w:tc>
      </w:tr>
      <w:tr w:rsidR="0068139F" w:rsidRPr="0068139F" w:rsidTr="00F76266">
        <w:trPr>
          <w:trHeight w:val="70"/>
        </w:trPr>
        <w:tc>
          <w:tcPr>
            <w:tcW w:w="1529" w:type="dxa"/>
            <w:vMerge/>
            <w:shd w:val="clear" w:color="auto" w:fill="auto"/>
          </w:tcPr>
          <w:p w:rsidR="0068139F" w:rsidRPr="0068139F" w:rsidRDefault="0068139F" w:rsidP="0068139F">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TE: A hallgató értékelése </w:t>
            </w:r>
          </w:p>
        </w:tc>
      </w:tr>
    </w:tbl>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tanulási eredmények</w:t>
      </w:r>
    </w:p>
    <w:p w:rsidR="0068139F" w:rsidRDefault="0068139F">
      <w:pPr>
        <w:rPr>
          <w:rFonts w:ascii="Times New Roman" w:hAnsi="Times New Roman" w:cs="Times New Roman"/>
          <w:color w:val="FF0000"/>
          <w:sz w:val="20"/>
          <w:szCs w:val="20"/>
        </w:rPr>
      </w:pPr>
      <w:r>
        <w:rPr>
          <w:rFonts w:ascii="Times New Roman" w:hAnsi="Times New Roman" w:cs="Times New Roman"/>
          <w:color w:val="FF0000"/>
          <w:sz w:val="20"/>
          <w:szCs w:val="20"/>
        </w:rPr>
        <w:br w:type="page"/>
      </w:r>
    </w:p>
    <w:p w:rsidR="0068139F" w:rsidRPr="0068139F" w:rsidRDefault="0068139F" w:rsidP="0068139F">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139F" w:rsidRPr="0068139F" w:rsidTr="00F762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b/>
                <w:sz w:val="20"/>
                <w:szCs w:val="16"/>
                <w:lang w:eastAsia="hu-HU"/>
              </w:rPr>
            </w:pPr>
            <w:r w:rsidRPr="0068139F">
              <w:rPr>
                <w:rFonts w:ascii="Times New Roman" w:eastAsia="Calibri" w:hAnsi="Times New Roman" w:cs="Times New Roman"/>
                <w:b/>
                <w:sz w:val="20"/>
                <w:szCs w:val="20"/>
                <w:lang w:eastAsia="hu-HU"/>
              </w:rPr>
              <w:t>Nemzetközi egyezmények, szervezetek és gazdasági hatásaik</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16"/>
                <w:szCs w:val="16"/>
                <w:lang w:eastAsia="hu-HU"/>
              </w:rPr>
            </w:pPr>
            <w:r w:rsidRPr="0068139F">
              <w:rPr>
                <w:rFonts w:ascii="Times New Roman" w:eastAsia="Calibri" w:hAnsi="Times New Roman" w:cs="Times New Roman"/>
                <w:sz w:val="20"/>
                <w:szCs w:val="20"/>
                <w:lang w:eastAsia="hu-HU"/>
              </w:rPr>
              <w:t>Kódja</w:t>
            </w:r>
            <w:r w:rsidRPr="0068139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b/>
                <w:sz w:val="20"/>
                <w:szCs w:val="20"/>
                <w:lang w:eastAsia="hu-HU"/>
              </w:rPr>
            </w:pPr>
            <w:r w:rsidRPr="0068139F">
              <w:rPr>
                <w:rFonts w:ascii="Times New Roman" w:eastAsia="Calibri" w:hAnsi="Times New Roman" w:cs="Times New Roman"/>
                <w:sz w:val="20"/>
                <w:szCs w:val="20"/>
                <w:lang w:eastAsia="hu-HU"/>
              </w:rPr>
              <w:t>GT_MNGN508-17</w:t>
            </w:r>
          </w:p>
        </w:tc>
      </w:tr>
      <w:tr w:rsidR="0068139F" w:rsidRPr="0068139F" w:rsidTr="00F762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International Agreements, Organizations and Their Economic Effects</w:t>
            </w: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rPr>
                <w:rFonts w:ascii="Times New Roman" w:eastAsia="Arial Unicode MS" w:hAnsi="Times New Roman" w:cs="Times New Roman"/>
                <w:sz w:val="16"/>
                <w:szCs w:val="16"/>
                <w:lang w:eastAsia="hu-HU"/>
              </w:rPr>
            </w:pPr>
          </w:p>
        </w:tc>
      </w:tr>
      <w:tr w:rsidR="0068139F" w:rsidRPr="0068139F" w:rsidTr="00F7626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b/>
                <w:bCs/>
                <w:sz w:val="24"/>
                <w:szCs w:val="24"/>
                <w:lang w:eastAsia="hu-HU"/>
              </w:rPr>
            </w:pPr>
          </w:p>
        </w:tc>
      </w:tr>
      <w:tr w:rsidR="0068139F" w:rsidRPr="0068139F" w:rsidTr="00F7626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b/>
                <w:sz w:val="20"/>
                <w:szCs w:val="20"/>
                <w:lang w:eastAsia="hu-HU"/>
              </w:rPr>
              <w:t>Világgazdaság és Nemzetközi Kapcsoltok Intézet</w:t>
            </w:r>
          </w:p>
        </w:tc>
      </w:tr>
      <w:tr w:rsidR="0068139F" w:rsidRPr="0068139F" w:rsidTr="00F7626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Arial Unicode MS" w:hAnsi="Times New Roman" w:cs="Times New Roman"/>
                <w:sz w:val="20"/>
                <w:szCs w:val="20"/>
                <w:lang w:eastAsia="hu-HU"/>
              </w:rPr>
            </w:pPr>
            <w:r w:rsidRPr="0068139F">
              <w:rPr>
                <w:rFonts w:ascii="Times New Roman" w:eastAsia="Arial Unicode MS" w:hAnsi="Times New Roman" w:cs="Times New Roman"/>
                <w:sz w:val="20"/>
                <w:szCs w:val="20"/>
                <w:lang w:eastAsia="hu-HU"/>
              </w:rPr>
              <w:t>-</w:t>
            </w:r>
          </w:p>
        </w:tc>
      </w:tr>
      <w:tr w:rsidR="0068139F" w:rsidRPr="0068139F" w:rsidTr="00F7626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Oktatás nyelve</w:t>
            </w:r>
          </w:p>
        </w:tc>
      </w:tr>
      <w:tr w:rsidR="0068139F" w:rsidRPr="0068139F" w:rsidTr="00F7626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16"/>
                <w:szCs w:val="16"/>
                <w:lang w:eastAsia="hu-HU"/>
              </w:rPr>
            </w:pPr>
          </w:p>
        </w:tc>
      </w:tr>
      <w:tr w:rsidR="0068139F" w:rsidRPr="0068139F" w:rsidTr="00F7626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      Kollokvium</w:t>
            </w:r>
          </w:p>
        </w:tc>
        <w:tc>
          <w:tcPr>
            <w:tcW w:w="855" w:type="dxa"/>
            <w:vMerge w:val="restart"/>
            <w:tcBorders>
              <w:top w:val="single" w:sz="4" w:space="0" w:color="auto"/>
              <w:left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magyar</w:t>
            </w:r>
          </w:p>
        </w:tc>
      </w:tr>
      <w:tr w:rsidR="0068139F" w:rsidRPr="0068139F" w:rsidTr="00F7626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r w:rsidRPr="0068139F">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16"/>
                <w:szCs w:val="16"/>
                <w:lang w:eastAsia="hu-HU"/>
              </w:rPr>
            </w:pPr>
          </w:p>
        </w:tc>
      </w:tr>
      <w:tr w:rsidR="0068139F" w:rsidRPr="0068139F" w:rsidTr="00F7626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139F" w:rsidRPr="0068139F" w:rsidRDefault="0068139F" w:rsidP="0068139F">
            <w:pPr>
              <w:spacing w:after="0" w:line="240" w:lineRule="auto"/>
              <w:ind w:left="20"/>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20"/>
                <w:szCs w:val="20"/>
                <w:lang w:eastAsia="hu-HU"/>
              </w:rPr>
            </w:pPr>
            <w:r w:rsidRPr="0068139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16"/>
                <w:szCs w:val="16"/>
                <w:lang w:eastAsia="hu-HU"/>
              </w:rPr>
            </w:pPr>
            <w:r w:rsidRPr="0068139F">
              <w:rPr>
                <w:rFonts w:ascii="Times New Roman" w:eastAsia="Calibri" w:hAnsi="Times New Roman" w:cs="Times New Roman"/>
                <w:sz w:val="20"/>
                <w:szCs w:val="20"/>
                <w:lang w:eastAsia="hu-HU"/>
              </w:rPr>
              <w:t xml:space="preserve">Dr. Angi János </w:t>
            </w: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Arial Unicode MS" w:hAnsi="Times New Roman" w:cs="Times New Roman"/>
                <w:sz w:val="16"/>
                <w:szCs w:val="16"/>
                <w:lang w:eastAsia="hu-HU"/>
              </w:rPr>
            </w:pPr>
            <w:r w:rsidRPr="0068139F">
              <w:rPr>
                <w:rFonts w:ascii="Times New Roman" w:eastAsia="Calibri" w:hAnsi="Times New Roman" w:cs="Times New Roman"/>
                <w:sz w:val="20"/>
                <w:szCs w:val="20"/>
                <w:lang w:eastAsia="hu-HU"/>
              </w:rPr>
              <w:t>beosztása</w:t>
            </w:r>
            <w:r w:rsidRPr="0068139F">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b/>
                <w:sz w:val="20"/>
                <w:szCs w:val="20"/>
                <w:lang w:eastAsia="hu-HU"/>
              </w:rPr>
            </w:pPr>
            <w:r w:rsidRPr="0068139F">
              <w:rPr>
                <w:rFonts w:ascii="Times New Roman" w:eastAsia="Calibri" w:hAnsi="Times New Roman" w:cs="Times New Roman"/>
                <w:sz w:val="20"/>
                <w:szCs w:val="20"/>
                <w:lang w:eastAsia="hu-HU"/>
              </w:rPr>
              <w:t>egyetemi docens</w:t>
            </w:r>
          </w:p>
        </w:tc>
      </w:tr>
      <w:tr w:rsidR="0068139F" w:rsidRPr="0068139F" w:rsidTr="00F7626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139F" w:rsidRPr="0068139F" w:rsidRDefault="0068139F" w:rsidP="0068139F">
            <w:pPr>
              <w:spacing w:after="0" w:line="240" w:lineRule="auto"/>
              <w:ind w:left="20"/>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Tóth Eszter</w:t>
            </w:r>
          </w:p>
        </w:tc>
        <w:tc>
          <w:tcPr>
            <w:tcW w:w="855" w:type="dxa"/>
            <w:tcBorders>
              <w:top w:val="single" w:sz="4" w:space="0" w:color="auto"/>
              <w:left w:val="nil"/>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139F" w:rsidRPr="0068139F" w:rsidRDefault="0068139F" w:rsidP="0068139F">
            <w:pPr>
              <w:spacing w:after="0" w:line="240" w:lineRule="auto"/>
              <w:jc w:val="center"/>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tanársegéd</w:t>
            </w:r>
          </w:p>
        </w:tc>
      </w:tr>
      <w:tr w:rsidR="0068139F" w:rsidRPr="0068139F" w:rsidTr="00F7626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jc w:val="both"/>
              <w:rPr>
                <w:rFonts w:ascii="Garamond" w:eastAsia="Times New Roman" w:hAnsi="Garamond" w:cs="Times New Roman"/>
                <w:sz w:val="20"/>
                <w:szCs w:val="20"/>
                <w:lang w:eastAsia="hu-HU"/>
              </w:rPr>
            </w:pPr>
            <w:r w:rsidRPr="0068139F">
              <w:rPr>
                <w:rFonts w:ascii="Times New Roman" w:eastAsia="Times New Roman" w:hAnsi="Times New Roman" w:cs="Times New Roman"/>
                <w:b/>
                <w:bCs/>
                <w:sz w:val="20"/>
                <w:szCs w:val="20"/>
                <w:lang w:eastAsia="hu-HU"/>
              </w:rPr>
              <w:t xml:space="preserve">A kurzus célja, </w:t>
            </w:r>
            <w:r w:rsidRPr="0068139F">
              <w:rPr>
                <w:rFonts w:ascii="Times New Roman" w:eastAsia="Times New Roman" w:hAnsi="Times New Roman" w:cs="Times New Roman"/>
                <w:sz w:val="20"/>
                <w:szCs w:val="20"/>
                <w:lang w:eastAsia="hu-HU"/>
              </w:rPr>
              <w:t>hogy a hallgatókat megismertetése a nemzetközi egyezményekkel és szervezetekkel.</w:t>
            </w:r>
            <w:r w:rsidRPr="0068139F">
              <w:rPr>
                <w:rFonts w:ascii="Times New Roman" w:eastAsia="Times New Roman" w:hAnsi="Times New Roman" w:cs="Times New Roman"/>
                <w:sz w:val="24"/>
                <w:szCs w:val="24"/>
                <w:lang w:eastAsia="hu-HU"/>
              </w:rPr>
              <w:t xml:space="preserve"> </w:t>
            </w:r>
            <w:r w:rsidRPr="0068139F">
              <w:rPr>
                <w:rFonts w:ascii="Times New Roman" w:eastAsia="Times New Roman" w:hAnsi="Times New Roman" w:cs="Times New Roman"/>
                <w:sz w:val="20"/>
                <w:szCs w:val="20"/>
                <w:lang w:eastAsia="hu-HU"/>
              </w:rPr>
              <w:t>A kurzus kronológiai sorrendben tárgyalja a legfontosabb megállapodásokat, amelyek megalapozói a mai globális rendszernek. A jogi szövegek tanulmányozásakor a belső okokat és mozgatóerőket is meg fogják ismerni a hallgatók.</w:t>
            </w:r>
          </w:p>
        </w:tc>
      </w:tr>
      <w:tr w:rsidR="0068139F" w:rsidRPr="0068139F" w:rsidTr="00F76266">
        <w:trPr>
          <w:cantSplit/>
          <w:trHeight w:val="1400"/>
        </w:trPr>
        <w:tc>
          <w:tcPr>
            <w:tcW w:w="9939" w:type="dxa"/>
            <w:gridSpan w:val="10"/>
            <w:tcBorders>
              <w:top w:val="single" w:sz="4" w:space="0" w:color="auto"/>
              <w:left w:val="single" w:sz="4" w:space="0" w:color="auto"/>
              <w:right w:val="single" w:sz="4" w:space="0" w:color="000000"/>
            </w:tcBorders>
            <w:vAlign w:val="center"/>
          </w:tcPr>
          <w:p w:rsidR="0068139F" w:rsidRPr="0068139F" w:rsidRDefault="0068139F" w:rsidP="0068139F">
            <w:pPr>
              <w:spacing w:after="0" w:line="240" w:lineRule="auto"/>
              <w:jc w:val="both"/>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68139F" w:rsidRPr="0068139F" w:rsidRDefault="0068139F" w:rsidP="0068139F">
            <w:pPr>
              <w:spacing w:after="0" w:line="240" w:lineRule="auto"/>
              <w:jc w:val="both"/>
              <w:rPr>
                <w:rFonts w:ascii="Times New Roman" w:eastAsia="Calibri" w:hAnsi="Times New Roman" w:cs="Times New Roman"/>
                <w:b/>
                <w:bCs/>
                <w:sz w:val="20"/>
                <w:szCs w:val="20"/>
                <w:lang w:eastAsia="hu-HU"/>
              </w:rPr>
            </w:pPr>
          </w:p>
          <w:p w:rsidR="0068139F" w:rsidRPr="0068139F" w:rsidRDefault="0068139F" w:rsidP="00EE6446">
            <w:pPr>
              <w:spacing w:after="0" w:line="240" w:lineRule="auto"/>
              <w:ind w:left="13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 xml:space="preserve">Tudás: </w:t>
            </w:r>
            <w:r w:rsidRPr="0068139F">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w:t>
            </w:r>
            <w:r w:rsidRPr="0068139F">
              <w:rPr>
                <w:rFonts w:ascii="Times New Roman" w:eastAsia="Calibri" w:hAnsi="Times New Roman" w:cs="Times New Roman"/>
                <w:i/>
                <w:sz w:val="20"/>
                <w:szCs w:val="20"/>
                <w:lang w:eastAsia="hu-HU"/>
              </w:rPr>
              <w:t xml:space="preserve"> </w:t>
            </w:r>
            <w:r w:rsidRPr="0068139F">
              <w:rPr>
                <w:rFonts w:ascii="Times New Roman" w:eastAsia="Calibri" w:hAnsi="Times New Roman" w:cs="Times New Roman"/>
                <w:sz w:val="20"/>
                <w:szCs w:val="20"/>
                <w:lang w:eastAsia="hu-HU"/>
              </w:rPr>
              <w:t>Ismeri a projektben, teamben, munkaszervezetben való együttműködés, a projekt vezetés szabályait és etikai normáit.</w:t>
            </w:r>
          </w:p>
          <w:p w:rsidR="0068139F" w:rsidRPr="0068139F" w:rsidRDefault="0068139F" w:rsidP="00EE6446">
            <w:pPr>
              <w:shd w:val="clear" w:color="auto" w:fill="FFFFFF"/>
              <w:spacing w:after="0" w:line="240" w:lineRule="auto"/>
              <w:ind w:left="132"/>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Tisztában van a szervezetek működését, a gazdálkodási folyamatokat támogató informatikai és irodatechnikai eszközökkel. Elsajátította a szakszerű és hatékony kommunikáció írásbeli és szóbeli formáit, az adatok bemutatásának táblázatos és grafikus módjait.</w:t>
            </w:r>
          </w:p>
          <w:p w:rsidR="0068139F" w:rsidRPr="0068139F" w:rsidRDefault="0068139F" w:rsidP="00EE6446">
            <w:pPr>
              <w:shd w:val="clear" w:color="auto" w:fill="FFFFFF"/>
              <w:spacing w:after="0" w:line="240" w:lineRule="auto"/>
              <w:ind w:left="132" w:firstLine="240"/>
              <w:jc w:val="both"/>
              <w:rPr>
                <w:rFonts w:ascii="Times New Roman" w:eastAsia="Calibri" w:hAnsi="Times New Roman" w:cs="Times New Roman"/>
                <w:sz w:val="20"/>
                <w:szCs w:val="20"/>
                <w:lang w:eastAsia="hu-HU"/>
              </w:rPr>
            </w:pPr>
          </w:p>
          <w:p w:rsidR="0068139F" w:rsidRPr="0068139F" w:rsidRDefault="0068139F" w:rsidP="00EE6446">
            <w:pPr>
              <w:shd w:val="clear" w:color="auto" w:fill="FFFFFF"/>
              <w:spacing w:after="0" w:line="240" w:lineRule="auto"/>
              <w:ind w:left="132"/>
              <w:jc w:val="both"/>
              <w:rPr>
                <w:rFonts w:ascii="Times New Roman" w:eastAsia="Calibri" w:hAnsi="Times New Roman" w:cs="Times New Roman"/>
                <w:sz w:val="20"/>
                <w:szCs w:val="20"/>
                <w:lang w:eastAsia="hu-HU"/>
              </w:rPr>
            </w:pPr>
            <w:r w:rsidRPr="0068139F">
              <w:rPr>
                <w:rFonts w:ascii="Times New Roman" w:eastAsia="Calibri" w:hAnsi="Times New Roman" w:cs="Times New Roman"/>
                <w:i/>
                <w:sz w:val="20"/>
                <w:szCs w:val="20"/>
                <w:lang w:eastAsia="hu-HU"/>
              </w:rPr>
              <w:t>Képesség:</w:t>
            </w:r>
            <w:r w:rsidRPr="0068139F">
              <w:rPr>
                <w:rFonts w:ascii="Times New Roman" w:eastAsia="Calibri" w:hAnsi="Times New Roman" w:cs="Times New Roman"/>
                <w:sz w:val="20"/>
                <w:szCs w:val="20"/>
                <w:lang w:eastAsia="hu-HU"/>
              </w:rPr>
              <w:t xml:space="preserve">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Tisztában van a nemzetközi, multikulturális környezetben végzett munkavégzés sajátosságaival. Képes a gyakorlati tudás, tapasztalatok megszerzését követően kis és közepes vállalkozást, illetve gazdálkodó szervezetben szervezeti egységet vezetni. Képes középszintű szakmai idegennyelvtudása használatára.</w:t>
            </w:r>
          </w:p>
          <w:p w:rsidR="0068139F" w:rsidRPr="0068139F" w:rsidRDefault="0068139F" w:rsidP="00EE6446">
            <w:pPr>
              <w:shd w:val="clear" w:color="auto" w:fill="FFFFFF"/>
              <w:spacing w:after="0" w:line="240" w:lineRule="auto"/>
              <w:ind w:left="132" w:firstLine="240"/>
              <w:jc w:val="both"/>
              <w:rPr>
                <w:rFonts w:ascii="Times New Roman" w:eastAsia="Calibri" w:hAnsi="Times New Roman" w:cs="Times New Roman"/>
                <w:sz w:val="20"/>
                <w:szCs w:val="20"/>
                <w:lang w:eastAsia="hu-HU"/>
              </w:rPr>
            </w:pPr>
          </w:p>
          <w:p w:rsidR="0068139F" w:rsidRPr="0068139F" w:rsidRDefault="0068139F" w:rsidP="00EE6446">
            <w:pPr>
              <w:spacing w:after="0" w:line="240" w:lineRule="auto"/>
              <w:ind w:left="132"/>
              <w:jc w:val="both"/>
              <w:rPr>
                <w:rFonts w:ascii="Times New Roman" w:eastAsia="Calibri" w:hAnsi="Times New Roman" w:cs="Times New Roman"/>
                <w:i/>
                <w:sz w:val="20"/>
                <w:szCs w:val="20"/>
                <w:lang w:eastAsia="hu-HU"/>
              </w:rPr>
            </w:pPr>
            <w:r w:rsidRPr="0068139F">
              <w:rPr>
                <w:rFonts w:ascii="Times New Roman" w:eastAsia="Calibri" w:hAnsi="Times New Roman" w:cs="Times New Roman"/>
                <w:i/>
                <w:sz w:val="20"/>
                <w:szCs w:val="20"/>
                <w:lang w:eastAsia="hu-HU"/>
              </w:rPr>
              <w:t xml:space="preserve">Attitűd: </w:t>
            </w:r>
            <w:r w:rsidRPr="0068139F">
              <w:rPr>
                <w:rFonts w:ascii="Times New Roman" w:eastAsia="Calibri" w:hAnsi="Times New Roman" w:cs="Times New Roman"/>
                <w:sz w:val="20"/>
                <w:szCs w:val="20"/>
                <w:lang w:eastAsia="hu-HU"/>
              </w:rPr>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Kritikusan viszonyul saját, illetve a beosztottak tudásához, munkájához és magatartásához. Kész a hibák kijavítására, munkatársait is segíti ebben. Nyitott az adott munkakör, munkaszervezet, vállalkozás tágabb gazdasági, társadalmi környezetének változásai iránt, törekszik a változások követésére és megértésére.</w:t>
            </w:r>
          </w:p>
          <w:p w:rsidR="0068139F" w:rsidRPr="0068139F" w:rsidRDefault="0068139F" w:rsidP="00EE6446">
            <w:pPr>
              <w:shd w:val="clear" w:color="auto" w:fill="FFFFFF"/>
              <w:spacing w:after="0" w:line="240" w:lineRule="auto"/>
              <w:ind w:left="132" w:firstLine="240"/>
              <w:jc w:val="both"/>
              <w:rPr>
                <w:rFonts w:ascii="Times New Roman" w:eastAsia="Calibri" w:hAnsi="Times New Roman" w:cs="Times New Roman"/>
                <w:sz w:val="20"/>
                <w:szCs w:val="20"/>
                <w:lang w:eastAsia="hu-HU"/>
              </w:rPr>
            </w:pPr>
          </w:p>
          <w:p w:rsidR="0068139F" w:rsidRPr="0068139F" w:rsidRDefault="0068139F" w:rsidP="00EE6446">
            <w:pPr>
              <w:shd w:val="clear" w:color="auto" w:fill="FFFFFF"/>
              <w:spacing w:after="0" w:line="240" w:lineRule="auto"/>
              <w:ind w:left="132"/>
              <w:jc w:val="both"/>
              <w:rPr>
                <w:rFonts w:ascii="Times New Roman" w:eastAsia="Calibri" w:hAnsi="Times New Roman" w:cs="Times New Roman"/>
                <w:sz w:val="20"/>
                <w:szCs w:val="20"/>
                <w:lang w:eastAsia="hu-HU"/>
              </w:rPr>
            </w:pPr>
            <w:r w:rsidRPr="0068139F">
              <w:rPr>
                <w:rFonts w:ascii="Times New Roman" w:eastAsia="Calibri" w:hAnsi="Times New Roman" w:cs="Times New Roman"/>
                <w:i/>
                <w:sz w:val="20"/>
                <w:szCs w:val="20"/>
                <w:lang w:eastAsia="hu-HU"/>
              </w:rPr>
              <w:t>Autonómia és felelősség:</w:t>
            </w:r>
            <w:r w:rsidRPr="0068139F">
              <w:rPr>
                <w:rFonts w:ascii="Arial" w:eastAsia="Calibri" w:hAnsi="Arial" w:cs="Arial"/>
                <w:sz w:val="27"/>
                <w:szCs w:val="27"/>
                <w:lang w:eastAsia="hu-HU"/>
              </w:rPr>
              <w:t xml:space="preserve"> </w:t>
            </w:r>
            <w:r w:rsidRPr="0068139F">
              <w:rPr>
                <w:rFonts w:ascii="Times New Roman" w:eastAsia="Calibri" w:hAnsi="Times New Roman" w:cs="Times New Roman"/>
                <w:sz w:val="20"/>
                <w:szCs w:val="20"/>
                <w:lang w:eastAsia="hu-HU"/>
              </w:rPr>
              <w:t>Önállóan szervezi meg a gazdasági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 A kapcsolódó szakpolitikák követését és alkalmazását részben önállóan végzi. Előadásokat tart, vitavezetést önállóan végez.</w:t>
            </w:r>
          </w:p>
          <w:p w:rsidR="0068139F" w:rsidRPr="0068139F" w:rsidRDefault="0068139F" w:rsidP="0068139F">
            <w:pPr>
              <w:spacing w:after="0" w:line="240" w:lineRule="auto"/>
              <w:ind w:left="720"/>
              <w:rPr>
                <w:rFonts w:ascii="Times New Roman" w:eastAsia="Arial Unicode MS" w:hAnsi="Times New Roman" w:cs="Times New Roman"/>
                <w:b/>
                <w:bCs/>
                <w:sz w:val="20"/>
                <w:szCs w:val="20"/>
                <w:lang w:eastAsia="hu-HU"/>
              </w:rPr>
            </w:pPr>
          </w:p>
        </w:tc>
      </w:tr>
      <w:tr w:rsidR="0068139F" w:rsidRPr="0068139F" w:rsidTr="00F7626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A kurzus rövid tartalma, témakörei:</w:t>
            </w:r>
            <w:r w:rsidRPr="0068139F">
              <w:rPr>
                <w:rFonts w:ascii="Garamond" w:eastAsia="Calibri" w:hAnsi="Garamond" w:cs="Times New Roman"/>
                <w:sz w:val="20"/>
                <w:szCs w:val="20"/>
                <w:lang w:eastAsia="hu-HU"/>
              </w:rPr>
              <w:t xml:space="preserve"> ENSZ Alapokmány, Nemzetközi Valutaalap Megállapodás, Nemzetközi Újjáépítési és Fejlesztési Bank Alapokmány, Általános Vámtarifa és Kereskedelmi Egyezmény (GATT), Lisszaboni Szerződés</w:t>
            </w:r>
          </w:p>
          <w:p w:rsidR="0068139F" w:rsidRPr="0068139F" w:rsidRDefault="0068139F" w:rsidP="0068139F">
            <w:pPr>
              <w:spacing w:after="0" w:line="240" w:lineRule="auto"/>
              <w:ind w:right="138"/>
              <w:jc w:val="both"/>
              <w:rPr>
                <w:rFonts w:ascii="Times New Roman" w:eastAsia="Calibri" w:hAnsi="Times New Roman" w:cs="Times New Roman"/>
                <w:sz w:val="20"/>
                <w:szCs w:val="20"/>
                <w:lang w:eastAsia="hu-HU"/>
              </w:rPr>
            </w:pPr>
          </w:p>
        </w:tc>
      </w:tr>
      <w:tr w:rsidR="0068139F" w:rsidRPr="0068139F" w:rsidTr="00EE6446">
        <w:trPr>
          <w:trHeight w:val="731"/>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Tervezett tanulási tevékenységek, tanítási módszerek</w:t>
            </w:r>
          </w:p>
          <w:p w:rsidR="0068139F" w:rsidRPr="0068139F" w:rsidRDefault="0068139F" w:rsidP="0068139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Kiselőadás tartás, házi dolgozat, szóbeli kérdezés, csoportmunkában való feladat megoldás.</w:t>
            </w:r>
          </w:p>
        </w:tc>
      </w:tr>
      <w:tr w:rsidR="0068139F" w:rsidRPr="0068139F" w:rsidTr="00F76266">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Értékelés</w:t>
            </w:r>
          </w:p>
          <w:p w:rsidR="0068139F" w:rsidRPr="0068139F" w:rsidRDefault="0068139F" w:rsidP="0068139F">
            <w:pPr>
              <w:spacing w:after="0" w:line="240" w:lineRule="auto"/>
              <w:rPr>
                <w:rFonts w:ascii="Garamond" w:eastAsia="Calibri" w:hAnsi="Garamond" w:cs="Times New Roman"/>
                <w:sz w:val="20"/>
                <w:szCs w:val="20"/>
                <w:lang w:eastAsia="hu-HU"/>
              </w:rPr>
            </w:pP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A félévi jegy a következő részteljesítmények összességéből áll össze: órai aktivitás/házifeladatok (+10%), prezentáció tartása (40%), Év végi vizsgadolgozat (60%). </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végső értékelés a következő: 0-57% elégtelen (1), 58-68% elégséges (2), 69-78% közepes (3), 79-89% jó (4), 90-100% jeles (5) Az A, B, C vizsgák is írásbeliek</w:t>
            </w:r>
          </w:p>
          <w:p w:rsidR="0068139F" w:rsidRPr="0068139F" w:rsidRDefault="0068139F" w:rsidP="0068139F">
            <w:pPr>
              <w:spacing w:after="0" w:line="240" w:lineRule="auto"/>
              <w:rPr>
                <w:rFonts w:ascii="Times New Roman" w:eastAsia="Calibri" w:hAnsi="Times New Roman" w:cs="Times New Roman"/>
                <w:sz w:val="20"/>
                <w:szCs w:val="20"/>
                <w:lang w:eastAsia="hu-HU"/>
              </w:rPr>
            </w:pPr>
          </w:p>
        </w:tc>
      </w:tr>
      <w:tr w:rsidR="0068139F" w:rsidRPr="0068139F" w:rsidTr="00F7626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lastRenderedPageBreak/>
              <w:t>Kötelező szakirodalom:</w:t>
            </w:r>
          </w:p>
          <w:p w:rsidR="0068139F" w:rsidRPr="0068139F" w:rsidRDefault="0068139F" w:rsidP="0068139F">
            <w:pPr>
              <w:spacing w:after="0" w:line="240" w:lineRule="auto"/>
              <w:rPr>
                <w:rFonts w:ascii="Times New Roman" w:eastAsia="Times New Roman" w:hAnsi="Times New Roman" w:cs="Times New Roman"/>
                <w:sz w:val="20"/>
                <w:szCs w:val="20"/>
                <w:lang w:eastAsia="hu-HU"/>
              </w:rPr>
            </w:pPr>
            <w:r w:rsidRPr="0068139F">
              <w:rPr>
                <w:rFonts w:ascii="Times New Roman" w:eastAsia="Times New Roman" w:hAnsi="Times New Roman" w:cs="Times New Roman"/>
                <w:sz w:val="20"/>
                <w:szCs w:val="20"/>
                <w:lang w:eastAsia="hu-HU"/>
              </w:rPr>
              <w:t>Nemzetközi szerződések eredeti szövege</w:t>
            </w:r>
          </w:p>
          <w:p w:rsidR="0068139F" w:rsidRPr="0068139F" w:rsidRDefault="0068139F" w:rsidP="0068139F">
            <w:pPr>
              <w:spacing w:after="0" w:line="240" w:lineRule="auto"/>
              <w:rPr>
                <w:rFonts w:ascii="Times New Roman" w:eastAsia="Times New Roman" w:hAnsi="Times New Roman" w:cs="Times New Roman"/>
                <w:sz w:val="20"/>
                <w:szCs w:val="20"/>
                <w:lang w:eastAsia="hu-HU"/>
              </w:rPr>
            </w:pPr>
            <w:r w:rsidRPr="0068139F">
              <w:rPr>
                <w:rFonts w:ascii="Times New Roman" w:eastAsia="Times New Roman" w:hAnsi="Times New Roman" w:cs="Times New Roman"/>
                <w:sz w:val="20"/>
                <w:szCs w:val="20"/>
                <w:lang w:eastAsia="hu-HU"/>
              </w:rPr>
              <w:t>Halmosy Dénes: Nemzetközi szerződések 1945-1982 (Gondolat Könyvkiadó, 1985)</w:t>
            </w:r>
          </w:p>
          <w:p w:rsidR="0068139F" w:rsidRPr="0068139F" w:rsidRDefault="0068139F" w:rsidP="0068139F">
            <w:pPr>
              <w:spacing w:after="0" w:line="240" w:lineRule="auto"/>
              <w:jc w:val="both"/>
              <w:rPr>
                <w:rFonts w:ascii="Times New Roman" w:eastAsia="Times New Roman" w:hAnsi="Times New Roman" w:cs="Times New Roman"/>
                <w:sz w:val="20"/>
                <w:szCs w:val="20"/>
                <w:lang w:eastAsia="hu-HU"/>
              </w:rPr>
            </w:pPr>
            <w:r w:rsidRPr="0068139F">
              <w:rPr>
                <w:rFonts w:ascii="Times New Roman" w:eastAsia="Times New Roman" w:hAnsi="Times New Roman" w:cs="Times New Roman"/>
                <w:sz w:val="20"/>
                <w:szCs w:val="20"/>
                <w:lang w:eastAsia="hu-HU"/>
              </w:rPr>
              <w:t xml:space="preserve">Nemzetközi szervezetek (GATT, ASEAN, NAFTA, EU, NATO) éves beszámoló jelentései, regionális és globális elemzései </w:t>
            </w:r>
          </w:p>
          <w:p w:rsidR="0068139F" w:rsidRPr="0068139F" w:rsidRDefault="0068139F" w:rsidP="0068139F">
            <w:pPr>
              <w:spacing w:after="0" w:line="240" w:lineRule="auto"/>
              <w:jc w:val="both"/>
              <w:rPr>
                <w:rFonts w:ascii="Times New Roman" w:eastAsia="Times New Roman" w:hAnsi="Times New Roman" w:cs="Times New Roman"/>
                <w:sz w:val="20"/>
                <w:szCs w:val="20"/>
                <w:lang w:eastAsia="hu-HU"/>
              </w:rPr>
            </w:pPr>
            <w:r w:rsidRPr="0068139F">
              <w:rPr>
                <w:rFonts w:ascii="Times New Roman" w:eastAsia="Times New Roman" w:hAnsi="Times New Roman" w:cs="Times New Roman"/>
                <w:i/>
                <w:iCs/>
                <w:sz w:val="20"/>
                <w:szCs w:val="20"/>
                <w:lang w:eastAsia="hu-HU"/>
              </w:rPr>
              <w:t>Nemzetközi</w:t>
            </w:r>
            <w:r w:rsidRPr="0068139F">
              <w:rPr>
                <w:rFonts w:ascii="Times New Roman" w:eastAsia="Times New Roman" w:hAnsi="Times New Roman" w:cs="Times New Roman"/>
                <w:sz w:val="20"/>
                <w:szCs w:val="20"/>
                <w:lang w:eastAsia="hu-HU"/>
              </w:rPr>
              <w:t xml:space="preserve"> jogi </w:t>
            </w:r>
            <w:r w:rsidRPr="0068139F">
              <w:rPr>
                <w:rFonts w:ascii="Times New Roman" w:eastAsia="Times New Roman" w:hAnsi="Times New Roman" w:cs="Times New Roman"/>
                <w:i/>
                <w:iCs/>
                <w:sz w:val="20"/>
                <w:szCs w:val="20"/>
                <w:lang w:eastAsia="hu-HU"/>
              </w:rPr>
              <w:t>szerződések</w:t>
            </w:r>
            <w:r w:rsidRPr="0068139F">
              <w:rPr>
                <w:rFonts w:ascii="Times New Roman" w:eastAsia="Times New Roman" w:hAnsi="Times New Roman" w:cs="Times New Roman"/>
                <w:sz w:val="20"/>
                <w:szCs w:val="20"/>
                <w:lang w:eastAsia="hu-HU"/>
              </w:rPr>
              <w:t xml:space="preserve"> és </w:t>
            </w:r>
            <w:r w:rsidRPr="0068139F">
              <w:rPr>
                <w:rFonts w:ascii="Times New Roman" w:eastAsia="Times New Roman" w:hAnsi="Times New Roman" w:cs="Times New Roman"/>
                <w:i/>
                <w:iCs/>
                <w:sz w:val="20"/>
                <w:szCs w:val="20"/>
                <w:lang w:eastAsia="hu-HU"/>
              </w:rPr>
              <w:t>dokumentumok</w:t>
            </w:r>
            <w:r w:rsidRPr="0068139F">
              <w:rPr>
                <w:rFonts w:ascii="Times New Roman" w:eastAsia="Times New Roman" w:hAnsi="Times New Roman" w:cs="Times New Roman"/>
                <w:sz w:val="20"/>
                <w:szCs w:val="20"/>
                <w:lang w:eastAsia="hu-HU"/>
              </w:rPr>
              <w:t xml:space="preserve"> - </w:t>
            </w:r>
            <w:r w:rsidRPr="0068139F">
              <w:rPr>
                <w:rFonts w:ascii="Times New Roman" w:eastAsia="Times New Roman" w:hAnsi="Times New Roman" w:cs="Times New Roman"/>
                <w:i/>
                <w:iCs/>
                <w:sz w:val="20"/>
                <w:szCs w:val="20"/>
                <w:lang w:eastAsia="hu-HU"/>
              </w:rPr>
              <w:t>Dunay</w:t>
            </w:r>
            <w:r w:rsidRPr="0068139F">
              <w:rPr>
                <w:rFonts w:ascii="Times New Roman" w:eastAsia="Times New Roman" w:hAnsi="Times New Roman" w:cs="Times New Roman"/>
                <w:sz w:val="20"/>
                <w:szCs w:val="20"/>
                <w:lang w:eastAsia="hu-HU"/>
              </w:rPr>
              <w:t xml:space="preserve"> Pál (Szerk.) - Kardos Gábor (Szerk.) - Kende </w:t>
            </w:r>
            <w:proofErr w:type="gramStart"/>
            <w:r w:rsidRPr="0068139F">
              <w:rPr>
                <w:rFonts w:ascii="Times New Roman" w:eastAsia="Times New Roman" w:hAnsi="Times New Roman" w:cs="Times New Roman"/>
                <w:sz w:val="20"/>
                <w:szCs w:val="20"/>
                <w:lang w:eastAsia="hu-HU"/>
              </w:rPr>
              <w:t>Tamás(</w:t>
            </w:r>
            <w:proofErr w:type="gramEnd"/>
            <w:r w:rsidRPr="0068139F">
              <w:rPr>
                <w:rFonts w:ascii="Times New Roman" w:eastAsia="Times New Roman" w:hAnsi="Times New Roman" w:cs="Times New Roman"/>
                <w:sz w:val="20"/>
                <w:szCs w:val="20"/>
                <w:lang w:eastAsia="hu-HU"/>
              </w:rPr>
              <w:t>Szerk.) Budapest, Nemzeti Tankönyvkiadó, 1991</w:t>
            </w:r>
          </w:p>
          <w:p w:rsidR="0068139F" w:rsidRPr="0068139F" w:rsidRDefault="0068139F" w:rsidP="0068139F">
            <w:pPr>
              <w:spacing w:after="0" w:line="240" w:lineRule="auto"/>
              <w:jc w:val="both"/>
              <w:rPr>
                <w:rFonts w:ascii="Times New Roman" w:eastAsia="Times New Roman" w:hAnsi="Times New Roman" w:cs="Times New Roman"/>
                <w:sz w:val="20"/>
                <w:szCs w:val="20"/>
                <w:lang w:eastAsia="hu-HU"/>
              </w:rPr>
            </w:pPr>
          </w:p>
          <w:p w:rsidR="0068139F" w:rsidRPr="0068139F" w:rsidRDefault="0068139F" w:rsidP="0068139F">
            <w:pPr>
              <w:spacing w:after="0" w:line="240" w:lineRule="auto"/>
              <w:rPr>
                <w:rFonts w:ascii="Times New Roman" w:eastAsia="Calibri" w:hAnsi="Times New Roman" w:cs="Times New Roman"/>
                <w:b/>
                <w:bCs/>
                <w:sz w:val="20"/>
                <w:szCs w:val="20"/>
                <w:lang w:eastAsia="hu-HU"/>
              </w:rPr>
            </w:pPr>
            <w:r w:rsidRPr="0068139F">
              <w:rPr>
                <w:rFonts w:ascii="Times New Roman" w:eastAsia="Calibri" w:hAnsi="Times New Roman" w:cs="Times New Roman"/>
                <w:b/>
                <w:bCs/>
                <w:sz w:val="20"/>
                <w:szCs w:val="20"/>
                <w:lang w:eastAsia="hu-HU"/>
              </w:rPr>
              <w:t>Ajánlott szakirodalom:</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Alapvető tények az ENSZ-ről (United Nations, New York, 1998)</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Archer, Clive: International Organizations (Routledge, 2001)</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Bokorné Szegő Anna: Nemzetközi jog (Aula, 2006)</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Bruhács János: Nemzetközi jog (Dialóg Campus, 2009) </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Horváth Zoltán – Tar Gábor: A nemzetközi szervezetek kislexikona (HVG, 2006) </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Murádin János Kristóf: Nemzetközi intézmények és szervezetek (Scientia Kiadó, 2011)</w:t>
            </w:r>
          </w:p>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Margaret P. Karns - Karen A. Mingst: International Organizations: The Politics and Processes of Global Governance, (Lynne Rienner Publishers 2009)</w:t>
            </w:r>
          </w:p>
          <w:p w:rsidR="0068139F" w:rsidRPr="0068139F" w:rsidRDefault="0068139F" w:rsidP="008A1D6D">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Simai Mihály – Gál Péter: Új trendek és stratégiák a világgazdaságban: vállalatok, államok, nemzetközi sze</w:t>
            </w:r>
            <w:r w:rsidR="008A1D6D">
              <w:rPr>
                <w:rFonts w:ascii="Times New Roman" w:eastAsia="Calibri" w:hAnsi="Times New Roman" w:cs="Times New Roman"/>
                <w:sz w:val="20"/>
                <w:szCs w:val="20"/>
                <w:lang w:eastAsia="hu-HU"/>
              </w:rPr>
              <w:t>rvezetek (Akadémia Kiadó, 2000)</w:t>
            </w:r>
          </w:p>
        </w:tc>
      </w:tr>
    </w:tbl>
    <w:p w:rsidR="0068139F" w:rsidRPr="0068139F" w:rsidRDefault="0068139F" w:rsidP="0068139F">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68139F" w:rsidRPr="0068139F" w:rsidTr="00F76266">
        <w:tc>
          <w:tcPr>
            <w:tcW w:w="9250" w:type="dxa"/>
            <w:gridSpan w:val="2"/>
            <w:shd w:val="clear" w:color="auto" w:fill="auto"/>
          </w:tcPr>
          <w:p w:rsidR="0068139F" w:rsidRPr="0068139F" w:rsidRDefault="0068139F" w:rsidP="0068139F">
            <w:pPr>
              <w:spacing w:after="0" w:line="240" w:lineRule="auto"/>
              <w:jc w:val="center"/>
              <w:rPr>
                <w:rFonts w:ascii="Times New Roman" w:eastAsia="Calibri" w:hAnsi="Times New Roman" w:cs="Times New Roman"/>
                <w:sz w:val="28"/>
                <w:szCs w:val="28"/>
                <w:lang w:eastAsia="hu-HU"/>
              </w:rPr>
            </w:pPr>
            <w:r w:rsidRPr="0068139F">
              <w:rPr>
                <w:rFonts w:ascii="Times New Roman" w:eastAsia="Calibri" w:hAnsi="Times New Roman" w:cs="Times New Roman"/>
                <w:sz w:val="28"/>
                <w:szCs w:val="28"/>
                <w:lang w:eastAsia="hu-HU"/>
              </w:rPr>
              <w:t>Heti bontott tematika</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ENSZ Alapokmány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betekintést nyer a világszervezet alapító okiratába</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Nemzetközi Valutaalap Megállapodás</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 Valutaalap létrejöttéhez vezető megállapodást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Nemzetközi Újjáépítési és Fejlesztési Bank Alapokmány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 Világbank csoport legfontosabb alapító okiratát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Általános Vámtarifa és Kereskedelmi Egyezmény (GATT)</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 GATT egyezményt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OECD</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OECD alapító okiratát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Római Szerződések</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betekintést nyer az európai integrációt elindító legfontosabb szerződésekbe</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Garamond" w:eastAsia="Calibri" w:hAnsi="Garamond" w:cs="Times New Roman"/>
                <w:sz w:val="20"/>
                <w:szCs w:val="20"/>
                <w:lang w:eastAsia="hu-HU"/>
              </w:rPr>
            </w:pPr>
            <w:r w:rsidRPr="0068139F">
              <w:rPr>
                <w:rFonts w:ascii="Garamond" w:eastAsia="Calibri" w:hAnsi="Garamond" w:cs="Times New Roman"/>
                <w:sz w:val="20"/>
                <w:szCs w:val="20"/>
                <w:lang w:eastAsia="hu-HU"/>
              </w:rPr>
              <w:t>Nemzetközi Atomenergia Egyezmény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 nukleáris energiával kapcsolatos legfontosabb egyezményt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Bangkoki Nyilatkozat (ASEAN)</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 xml:space="preserve">A hallgató megismeri a délkelet ázsiai </w:t>
            </w:r>
            <w:proofErr w:type="gramStart"/>
            <w:r w:rsidRPr="0068139F">
              <w:rPr>
                <w:rFonts w:ascii="Times New Roman" w:eastAsia="Calibri" w:hAnsi="Times New Roman" w:cs="Times New Roman"/>
                <w:sz w:val="20"/>
                <w:szCs w:val="20"/>
                <w:lang w:eastAsia="hu-HU"/>
              </w:rPr>
              <w:t>integrációt</w:t>
            </w:r>
            <w:proofErr w:type="gramEnd"/>
            <w:r w:rsidRPr="0068139F">
              <w:rPr>
                <w:rFonts w:ascii="Times New Roman" w:eastAsia="Calibri" w:hAnsi="Times New Roman" w:cs="Times New Roman"/>
                <w:sz w:val="20"/>
                <w:szCs w:val="20"/>
                <w:lang w:eastAsia="hu-HU"/>
              </w:rPr>
              <w:t xml:space="preserve"> egyik alapdokumentumát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Loméi Egyezmény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afrikai országok integrációjában alapvető szerződéseket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Abujai Szerződés (AEC)</w:t>
            </w:r>
          </w:p>
        </w:tc>
      </w:tr>
      <w:tr w:rsidR="0068139F" w:rsidRPr="0068139F" w:rsidTr="00F76266">
        <w:trPr>
          <w:trHeight w:val="154"/>
        </w:trPr>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afrikai országok integrációjában alapvető szerződéseket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Maastrichti Szerződés</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 Maastrichti Szerződést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Garamond" w:eastAsia="Calibri" w:hAnsi="Garamond" w:cs="Times New Roman"/>
                <w:sz w:val="20"/>
                <w:szCs w:val="20"/>
                <w:lang w:eastAsia="hu-HU"/>
              </w:rPr>
              <w:t>Észak-Amerikai Szabadkereskedelmi Egyezmény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észak-amerikai integráció dokumentumait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Kiotói Egyezmény</w:t>
            </w:r>
          </w:p>
        </w:tc>
      </w:tr>
      <w:tr w:rsidR="0068139F" w:rsidRPr="0068139F" w:rsidTr="00F76266">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egyik legfontosabb klíma megállapodást</w:t>
            </w:r>
          </w:p>
        </w:tc>
      </w:tr>
      <w:tr w:rsidR="0068139F" w:rsidRPr="0068139F" w:rsidTr="00F76266">
        <w:tc>
          <w:tcPr>
            <w:tcW w:w="1529" w:type="dxa"/>
            <w:vMerge w:val="restart"/>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Lisszaboni Egyezmény</w:t>
            </w:r>
          </w:p>
        </w:tc>
      </w:tr>
      <w:tr w:rsidR="0068139F" w:rsidRPr="0068139F" w:rsidTr="00F76266">
        <w:trPr>
          <w:trHeight w:val="70"/>
        </w:trPr>
        <w:tc>
          <w:tcPr>
            <w:tcW w:w="1529" w:type="dxa"/>
            <w:vMerge/>
            <w:shd w:val="clear" w:color="auto" w:fill="auto"/>
          </w:tcPr>
          <w:p w:rsidR="0068139F" w:rsidRPr="0068139F" w:rsidRDefault="0068139F" w:rsidP="0068139F">
            <w:pPr>
              <w:numPr>
                <w:ilvl w:val="0"/>
                <w:numId w:val="2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68139F" w:rsidRPr="0068139F" w:rsidRDefault="0068139F" w:rsidP="0068139F">
            <w:pPr>
              <w:spacing w:after="0" w:line="240" w:lineRule="auto"/>
              <w:jc w:val="both"/>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A hallgató megismeri az európai integráció legfrissebb szerződését</w:t>
            </w:r>
          </w:p>
        </w:tc>
      </w:tr>
    </w:tbl>
    <w:p w:rsidR="0068139F" w:rsidRPr="0068139F" w:rsidRDefault="0068139F" w:rsidP="0068139F">
      <w:pPr>
        <w:spacing w:after="0" w:line="240" w:lineRule="auto"/>
        <w:rPr>
          <w:rFonts w:ascii="Times New Roman" w:eastAsia="Calibri" w:hAnsi="Times New Roman" w:cs="Times New Roman"/>
          <w:sz w:val="20"/>
          <w:szCs w:val="20"/>
          <w:lang w:eastAsia="hu-HU"/>
        </w:rPr>
      </w:pPr>
      <w:r w:rsidRPr="0068139F">
        <w:rPr>
          <w:rFonts w:ascii="Times New Roman" w:eastAsia="Calibri" w:hAnsi="Times New Roman" w:cs="Times New Roman"/>
          <w:sz w:val="20"/>
          <w:szCs w:val="20"/>
          <w:lang w:eastAsia="hu-HU"/>
        </w:rPr>
        <w:t>*TE tanulási eredmények</w:t>
      </w:r>
    </w:p>
    <w:p w:rsidR="00D35406" w:rsidRPr="00D35406" w:rsidRDefault="00D35406" w:rsidP="0068139F">
      <w:pPr>
        <w:rPr>
          <w:rFonts w:ascii="Times New Roman" w:hAnsi="Times New Roman" w:cs="Times New Roman"/>
          <w:color w:val="FF0000"/>
          <w:sz w:val="20"/>
          <w:szCs w:val="20"/>
        </w:rPr>
      </w:pPr>
    </w:p>
    <w:sectPr w:rsidR="00D35406" w:rsidRPr="00D35406" w:rsidSect="00346B5E">
      <w:footerReference w:type="default" r:id="rId39"/>
      <w:pgSz w:w="11906" w:h="16838"/>
      <w:pgMar w:top="816" w:right="1418" w:bottom="425"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16" w:rsidRDefault="00780616">
      <w:pPr>
        <w:spacing w:after="0" w:line="240" w:lineRule="auto"/>
      </w:pPr>
      <w:r>
        <w:separator/>
      </w:r>
    </w:p>
  </w:endnote>
  <w:endnote w:type="continuationSeparator" w:id="0">
    <w:p w:rsidR="00780616" w:rsidRDefault="0078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E2" w:rsidRDefault="00A57FE2">
    <w:pPr>
      <w:pStyle w:val="llb"/>
      <w:jc w:val="center"/>
    </w:pPr>
    <w:r>
      <w:fldChar w:fldCharType="begin"/>
    </w:r>
    <w:r>
      <w:instrText>PAGE   \* MERGEFORMAT</w:instrText>
    </w:r>
    <w:r>
      <w:fldChar w:fldCharType="separate"/>
    </w:r>
    <w:r w:rsidR="000907F0">
      <w:rPr>
        <w:noProof/>
      </w:rPr>
      <w:t>2</w:t>
    </w:r>
    <w:r>
      <w:fldChar w:fldCharType="end"/>
    </w:r>
  </w:p>
  <w:p w:rsidR="00A57FE2" w:rsidRPr="00D07DA6" w:rsidRDefault="00A57FE2" w:rsidP="00C537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16" w:rsidRDefault="00780616">
      <w:pPr>
        <w:spacing w:after="0" w:line="240" w:lineRule="auto"/>
      </w:pPr>
      <w:r>
        <w:separator/>
      </w:r>
    </w:p>
  </w:footnote>
  <w:footnote w:type="continuationSeparator" w:id="0">
    <w:p w:rsidR="00780616" w:rsidRDefault="00780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220"/>
    <w:multiLevelType w:val="hybridMultilevel"/>
    <w:tmpl w:val="509E427E"/>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4F7FD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69144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CA404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0A366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9115E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230C5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576BE1"/>
    <w:multiLevelType w:val="hybridMultilevel"/>
    <w:tmpl w:val="45505BDE"/>
    <w:lvl w:ilvl="0" w:tplc="97341C5E">
      <w:start w:val="1"/>
      <w:numFmt w:val="bullet"/>
      <w:lvlText w:val=""/>
      <w:lvlJc w:val="left"/>
      <w:pPr>
        <w:tabs>
          <w:tab w:val="num" w:pos="720"/>
        </w:tabs>
        <w:ind w:left="720" w:hanging="360"/>
      </w:pPr>
      <w:rPr>
        <w:rFonts w:ascii="Wingdings" w:hAnsi="Wingdings" w:hint="default"/>
      </w:rPr>
    </w:lvl>
    <w:lvl w:ilvl="1" w:tplc="B73ACB3E" w:tentative="1">
      <w:start w:val="1"/>
      <w:numFmt w:val="bullet"/>
      <w:lvlText w:val=""/>
      <w:lvlJc w:val="left"/>
      <w:pPr>
        <w:tabs>
          <w:tab w:val="num" w:pos="1440"/>
        </w:tabs>
        <w:ind w:left="1440" w:hanging="360"/>
      </w:pPr>
      <w:rPr>
        <w:rFonts w:ascii="Wingdings" w:hAnsi="Wingdings" w:hint="default"/>
      </w:rPr>
    </w:lvl>
    <w:lvl w:ilvl="2" w:tplc="B2C49E2C" w:tentative="1">
      <w:start w:val="1"/>
      <w:numFmt w:val="bullet"/>
      <w:lvlText w:val=""/>
      <w:lvlJc w:val="left"/>
      <w:pPr>
        <w:tabs>
          <w:tab w:val="num" w:pos="2160"/>
        </w:tabs>
        <w:ind w:left="2160" w:hanging="360"/>
      </w:pPr>
      <w:rPr>
        <w:rFonts w:ascii="Wingdings" w:hAnsi="Wingdings" w:hint="default"/>
      </w:rPr>
    </w:lvl>
    <w:lvl w:ilvl="3" w:tplc="818C5976" w:tentative="1">
      <w:start w:val="1"/>
      <w:numFmt w:val="bullet"/>
      <w:lvlText w:val=""/>
      <w:lvlJc w:val="left"/>
      <w:pPr>
        <w:tabs>
          <w:tab w:val="num" w:pos="2880"/>
        </w:tabs>
        <w:ind w:left="2880" w:hanging="360"/>
      </w:pPr>
      <w:rPr>
        <w:rFonts w:ascii="Wingdings" w:hAnsi="Wingdings" w:hint="default"/>
      </w:rPr>
    </w:lvl>
    <w:lvl w:ilvl="4" w:tplc="6D6E9C7C" w:tentative="1">
      <w:start w:val="1"/>
      <w:numFmt w:val="bullet"/>
      <w:lvlText w:val=""/>
      <w:lvlJc w:val="left"/>
      <w:pPr>
        <w:tabs>
          <w:tab w:val="num" w:pos="3600"/>
        </w:tabs>
        <w:ind w:left="3600" w:hanging="360"/>
      </w:pPr>
      <w:rPr>
        <w:rFonts w:ascii="Wingdings" w:hAnsi="Wingdings" w:hint="default"/>
      </w:rPr>
    </w:lvl>
    <w:lvl w:ilvl="5" w:tplc="E28CAAC0" w:tentative="1">
      <w:start w:val="1"/>
      <w:numFmt w:val="bullet"/>
      <w:lvlText w:val=""/>
      <w:lvlJc w:val="left"/>
      <w:pPr>
        <w:tabs>
          <w:tab w:val="num" w:pos="4320"/>
        </w:tabs>
        <w:ind w:left="4320" w:hanging="360"/>
      </w:pPr>
      <w:rPr>
        <w:rFonts w:ascii="Wingdings" w:hAnsi="Wingdings" w:hint="default"/>
      </w:rPr>
    </w:lvl>
    <w:lvl w:ilvl="6" w:tplc="F394FF58" w:tentative="1">
      <w:start w:val="1"/>
      <w:numFmt w:val="bullet"/>
      <w:lvlText w:val=""/>
      <w:lvlJc w:val="left"/>
      <w:pPr>
        <w:tabs>
          <w:tab w:val="num" w:pos="5040"/>
        </w:tabs>
        <w:ind w:left="5040" w:hanging="360"/>
      </w:pPr>
      <w:rPr>
        <w:rFonts w:ascii="Wingdings" w:hAnsi="Wingdings" w:hint="default"/>
      </w:rPr>
    </w:lvl>
    <w:lvl w:ilvl="7" w:tplc="590E0438" w:tentative="1">
      <w:start w:val="1"/>
      <w:numFmt w:val="bullet"/>
      <w:lvlText w:val=""/>
      <w:lvlJc w:val="left"/>
      <w:pPr>
        <w:tabs>
          <w:tab w:val="num" w:pos="5760"/>
        </w:tabs>
        <w:ind w:left="5760" w:hanging="360"/>
      </w:pPr>
      <w:rPr>
        <w:rFonts w:ascii="Wingdings" w:hAnsi="Wingdings" w:hint="default"/>
      </w:rPr>
    </w:lvl>
    <w:lvl w:ilvl="8" w:tplc="1EC6DF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52BB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764F0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414CA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6A368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AC649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B12E6"/>
    <w:multiLevelType w:val="hybridMultilevel"/>
    <w:tmpl w:val="E75C3CC4"/>
    <w:lvl w:ilvl="0" w:tplc="4A96AC22">
      <w:numFmt w:val="bullet"/>
      <w:lvlText w:val="•"/>
      <w:lvlJc w:val="left"/>
      <w:pPr>
        <w:ind w:left="357" w:hanging="360"/>
      </w:pPr>
      <w:rPr>
        <w:rFonts w:ascii="Times New Roman" w:eastAsia="Calibri"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16" w15:restartNumberingAfterBreak="0">
    <w:nsid w:val="5FAA494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CBE55BA"/>
    <w:multiLevelType w:val="hybridMultilevel"/>
    <w:tmpl w:val="CC6CDDC8"/>
    <w:lvl w:ilvl="0" w:tplc="9954C980">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E252A1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F16527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523ED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7"/>
  </w:num>
  <w:num w:numId="5">
    <w:abstractNumId w:val="6"/>
  </w:num>
  <w:num w:numId="6">
    <w:abstractNumId w:val="12"/>
  </w:num>
  <w:num w:numId="7">
    <w:abstractNumId w:val="0"/>
  </w:num>
  <w:num w:numId="8">
    <w:abstractNumId w:val="18"/>
  </w:num>
  <w:num w:numId="9">
    <w:abstractNumId w:val="2"/>
  </w:num>
  <w:num w:numId="10">
    <w:abstractNumId w:val="1"/>
  </w:num>
  <w:num w:numId="11">
    <w:abstractNumId w:val="15"/>
  </w:num>
  <w:num w:numId="12">
    <w:abstractNumId w:val="13"/>
  </w:num>
  <w:num w:numId="13">
    <w:abstractNumId w:val="3"/>
  </w:num>
  <w:num w:numId="14">
    <w:abstractNumId w:val="9"/>
  </w:num>
  <w:num w:numId="15">
    <w:abstractNumId w:val="14"/>
  </w:num>
  <w:num w:numId="16">
    <w:abstractNumId w:val="10"/>
  </w:num>
  <w:num w:numId="17">
    <w:abstractNumId w:val="16"/>
  </w:num>
  <w:num w:numId="18">
    <w:abstractNumId w:val="19"/>
  </w:num>
  <w:num w:numId="19">
    <w:abstractNumId w:val="8"/>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D"/>
    <w:rsid w:val="000907F0"/>
    <w:rsid w:val="00264CA7"/>
    <w:rsid w:val="002A6B68"/>
    <w:rsid w:val="002B648D"/>
    <w:rsid w:val="00346B5E"/>
    <w:rsid w:val="004A4684"/>
    <w:rsid w:val="0068139F"/>
    <w:rsid w:val="006D78F8"/>
    <w:rsid w:val="00780616"/>
    <w:rsid w:val="007D4792"/>
    <w:rsid w:val="00861A1C"/>
    <w:rsid w:val="008A1D6D"/>
    <w:rsid w:val="008A6DA7"/>
    <w:rsid w:val="00905CDA"/>
    <w:rsid w:val="009C36B2"/>
    <w:rsid w:val="009F51A1"/>
    <w:rsid w:val="00A57FE2"/>
    <w:rsid w:val="00AF19D7"/>
    <w:rsid w:val="00C53713"/>
    <w:rsid w:val="00D00A8D"/>
    <w:rsid w:val="00D35406"/>
    <w:rsid w:val="00D72AA4"/>
    <w:rsid w:val="00DC0886"/>
    <w:rsid w:val="00EE6446"/>
    <w:rsid w:val="00F762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532F"/>
  <w15:chartTrackingRefBased/>
  <w15:docId w15:val="{6D429822-B727-4C0D-9705-6FD1A5C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861A1C"/>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861A1C"/>
    <w:rPr>
      <w:rFonts w:ascii="Times New Roman" w:eastAsia="Calibri" w:hAnsi="Times New Roman" w:cs="Times New Roman"/>
      <w:sz w:val="20"/>
      <w:szCs w:val="20"/>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pac.lib.unideb.hu/WebPac/CorvinaWeb?action=onelong&amp;showtype=longlong&amp;recnum=885147&amp;pos=11" TargetMode="External"/><Relationship Id="rId18" Type="http://schemas.openxmlformats.org/officeDocument/2006/relationships/hyperlink" Target="http://www.econlib.org/library/Enc/PropertyRights.html" TargetMode="External"/><Relationship Id="rId26" Type="http://schemas.openxmlformats.org/officeDocument/2006/relationships/hyperlink" Target="https://isistatic.org/journal-archive/ir/23_02/gwartney.pdf" TargetMode="External"/><Relationship Id="rId39" Type="http://schemas.openxmlformats.org/officeDocument/2006/relationships/footer" Target="footer1.xml"/><Relationship Id="rId21" Type="http://schemas.openxmlformats.org/officeDocument/2006/relationships/hyperlink" Target="http://www.econlib.org/library/Columns/y2013/CardenHorwitzmarkets.html" TargetMode="External"/><Relationship Id="rId34" Type="http://schemas.openxmlformats.org/officeDocument/2006/relationships/hyperlink" Target="https://ec.europa.eu/info/business-economy-euro/economy-finance-and-euro-publications_en" TargetMode="External"/><Relationship Id="rId7" Type="http://schemas.openxmlformats.org/officeDocument/2006/relationships/hyperlink" Target="https://www.nber.org/papers/w26229" TargetMode="External"/><Relationship Id="rId2" Type="http://schemas.openxmlformats.org/officeDocument/2006/relationships/styles" Target="styles.xml"/><Relationship Id="rId16" Type="http://schemas.openxmlformats.org/officeDocument/2006/relationships/hyperlink" Target="https://www.tankonyvtar.hu/hu/tartalom/tamop425/0050_08_tuka_agnes/ch04.html" TargetMode="External"/><Relationship Id="rId20" Type="http://schemas.openxmlformats.org/officeDocument/2006/relationships/hyperlink" Target="https://voxeu.org/article/fiscal-consolidation-what-speed" TargetMode="External"/><Relationship Id="rId29" Type="http://schemas.openxmlformats.org/officeDocument/2006/relationships/hyperlink" Target="https://reason.com/2019/12/19/dont-trade-stock-tips-or-obsess-about-the-fed-read-moby-dick-instea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ac.lib.unideb.hu/WebPac/CorvinaWeb?action=onelong&amp;showtype=longlong&amp;recnum=1156337&amp;pos=1" TargetMode="External"/><Relationship Id="rId24" Type="http://schemas.openxmlformats.org/officeDocument/2006/relationships/hyperlink" Target="http://www.epc.eu/documents/uploads/pub_6497_german_macro_how_it_s_different_and_why_that_matters.pdf" TargetMode="External"/><Relationship Id="rId32" Type="http://schemas.openxmlformats.org/officeDocument/2006/relationships/hyperlink" Target="https://voxeu.org/article/german-reunification-lessons-european-fiscal-union" TargetMode="External"/><Relationship Id="rId37" Type="http://schemas.openxmlformats.org/officeDocument/2006/relationships/hyperlink" Target="https://www.cia.gov/library/publications/the-world-factboo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pac.lib.unideb.hu/WebPac/CorvinaWeb?action=onelong&amp;showtype=longlong&amp;recnum=387828&amp;pos=2" TargetMode="External"/><Relationship Id="rId23" Type="http://schemas.openxmlformats.org/officeDocument/2006/relationships/hyperlink" Target="https://voxeu.org/article/european-origins-economic-development" TargetMode="External"/><Relationship Id="rId28" Type="http://schemas.openxmlformats.org/officeDocument/2006/relationships/hyperlink" Target="https://voxeu.org/content/ordoliberalism-german-oddity" TargetMode="External"/><Relationship Id="rId36" Type="http://schemas.openxmlformats.org/officeDocument/2006/relationships/hyperlink" Target="https://mkik.hu/orszagismertetok" TargetMode="External"/><Relationship Id="rId10" Type="http://schemas.openxmlformats.org/officeDocument/2006/relationships/hyperlink" Target="http://elsa.berkeley.edu/~obstfeld/globalimbalances2010.pdf" TargetMode="External"/><Relationship Id="rId19" Type="http://schemas.openxmlformats.org/officeDocument/2006/relationships/hyperlink" Target="https://voxeu.org/article/europe-optimal-political-area-new-findings" TargetMode="External"/><Relationship Id="rId31" Type="http://schemas.openxmlformats.org/officeDocument/2006/relationships/hyperlink" Target="https://voxeu.org/article/trilemma-china-and-india" TargetMode="External"/><Relationship Id="rId4" Type="http://schemas.openxmlformats.org/officeDocument/2006/relationships/webSettings" Target="webSettings.xml"/><Relationship Id="rId9" Type="http://schemas.openxmlformats.org/officeDocument/2006/relationships/hyperlink" Target="http://www.mnb.hu/Root/Dokumentumtar/MNB/Statisztika/mnbhu_statkozlemeny/mnbhu_fizetesi_merleg/SK_FIZM_2012_Q3.pdf" TargetMode="External"/><Relationship Id="rId14" Type="http://schemas.openxmlformats.org/officeDocument/2006/relationships/hyperlink" Target="https://webpac.lib.unideb.hu/WebPac/CorvinaWeb?action=onelong&amp;showtype=longlong&amp;recnum=885973&amp;pos=4" TargetMode="External"/><Relationship Id="rId22" Type="http://schemas.openxmlformats.org/officeDocument/2006/relationships/hyperlink" Target="http://www.wsj.com/articles/john-cochrane-whos-afraid-of-a-little-deflation-1415919082" TargetMode="External"/><Relationship Id="rId27" Type="http://schemas.openxmlformats.org/officeDocument/2006/relationships/hyperlink" Target="http://www.econlib.org/library/Enc/GovernmentGrowth.html" TargetMode="External"/><Relationship Id="rId30" Type="http://schemas.openxmlformats.org/officeDocument/2006/relationships/hyperlink" Target="https://voxeu.org/article/euro-area-reform-anatomy-debate" TargetMode="External"/><Relationship Id="rId35" Type="http://schemas.openxmlformats.org/officeDocument/2006/relationships/hyperlink" Target="http://ec.europa.eu/economy_finance/publications/economic_paper/index_en.htm" TargetMode="External"/><Relationship Id="rId8" Type="http://schemas.openxmlformats.org/officeDocument/2006/relationships/hyperlink" Target="https://www.mnb.hu/letoltes/novekedesi-jelentes-2018-digitalis.pdf" TargetMode="External"/><Relationship Id="rId3" Type="http://schemas.openxmlformats.org/officeDocument/2006/relationships/settings" Target="settings.xml"/><Relationship Id="rId12" Type="http://schemas.openxmlformats.org/officeDocument/2006/relationships/hyperlink" Target="https://webpac.lib.unideb.hu/WebPac/CorvinaWeb?action=onelong&amp;showtype=longlong&amp;recnum=635782&amp;pos=1" TargetMode="External"/><Relationship Id="rId17" Type="http://schemas.openxmlformats.org/officeDocument/2006/relationships/hyperlink" Target="http://papers.ssrn.com/sol3/papers.cfm?abstract_id=2003388" TargetMode="External"/><Relationship Id="rId25" Type="http://schemas.openxmlformats.org/officeDocument/2006/relationships/hyperlink" Target="http://voxeu.org/article/corruption-doesnt-grease-wheels-central-or-eastern-europe" TargetMode="External"/><Relationship Id="rId33" Type="http://schemas.openxmlformats.org/officeDocument/2006/relationships/hyperlink" Target="https://socialreflection.org/wp-content/uploads/2017/05/11.-SZALAI-%C3%81KOS-Az-elveszett-%C3%A1llam-nyom%C3%A1ban.pdf" TargetMode="External"/><Relationship Id="rId38" Type="http://schemas.openxmlformats.org/officeDocument/2006/relationships/hyperlink" Target="https://doi.org/10.1080/01442872.2019.160690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66</Pages>
  <Words>27023</Words>
  <Characters>186464</Characters>
  <Application>Microsoft Office Word</Application>
  <DocSecurity>0</DocSecurity>
  <Lines>1553</Lines>
  <Paragraphs>426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 Anita</dc:creator>
  <cp:keywords/>
  <dc:description/>
  <cp:lastModifiedBy>Windows-felhasználó</cp:lastModifiedBy>
  <cp:revision>18</cp:revision>
  <dcterms:created xsi:type="dcterms:W3CDTF">2020-07-06T09:40:00Z</dcterms:created>
  <dcterms:modified xsi:type="dcterms:W3CDTF">2020-08-06T09:55:00Z</dcterms:modified>
</cp:coreProperties>
</file>